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JEB5"/>
        <w:snapToGrid w:val="false"/>
        <w:spacing w:lineRule="atLeast" w:line="0" w:before="360" w:after="180"/>
        <w:jc w:val="center"/>
        <w:rPr>
          <w:rFonts w:hint="eastAsia"/>
        </w:rPr>
      </w:pPr>
      <w:r>
        <w:rPr/>
        <w:t>電子商務學報</w:t>
      </w:r>
      <w:r>
        <w:rPr>
          <w:rFonts w:hint="eastAsia"/>
        </w:rPr>
        <w:t>稿件格式說明</w:t>
      </w:r>
      <w:r>
        <w:rPr>
          <w:rStyle w:val="FootnoteReference"/>
          <w:vertAlign w:val="superscript"/>
        </w:rPr>
        <w:footnoteReference w:id="2"/>
      </w:r>
    </w:p>
    <w:p>
      <w:pPr>
        <w:pStyle w:val="JEB3"/>
        <w:spacing w:before="360" w:after="0"/>
        <w:rPr/>
      </w:pPr>
      <w:r>
        <w:rPr/>
        <w:t>摘要</w:t>
      </w:r>
    </w:p>
    <w:p>
      <w:pPr>
        <w:pStyle w:val="JEB4"/>
        <w:spacing w:before="180" w:after="0"/>
        <w:ind w:endChars="0" w:end="0"/>
        <w:rPr/>
      </w:pPr>
      <w:r>
        <w:rPr/>
        <w:t>本文為電子商務學報稿件格式說明，請您依照本文說明將稿件排版完成後，請將稿件電子檔以</w:t>
      </w:r>
      <w:r>
        <w:rPr/>
        <w:t>E</w:t>
        <w:noBreakHyphen/>
        <w:t>mail</w:t>
      </w:r>
      <w:r>
        <w:rPr/>
        <w:t>方式寄給本刊編輯助理，以便加速稿件處理與刊登程序。稿件格式說明內容包括論文摘要頁、論文正文與參考文獻編排方式。</w:t>
      </w:r>
    </w:p>
    <w:p>
      <w:pPr>
        <w:pStyle w:val="JEB6"/>
        <w:spacing w:before="180" w:after="0"/>
        <w:ind w:endChars="0" w:end="0"/>
        <w:rPr>
          <w:rFonts w:hint="eastAsia"/>
        </w:rPr>
      </w:pPr>
      <w:r>
        <w:rPr>
          <w:rFonts w:hint="eastAsia"/>
        </w:rPr>
        <w:t>關鍵詞：電子商務學報、稿件格式</w:t>
      </w:r>
    </w:p>
    <w:p>
      <w:pPr>
        <w:pStyle w:val="JEB5"/>
        <w:rPr>
          <w:rFonts w:hint="eastAsia"/>
        </w:rPr>
      </w:pPr>
      <w:r>
        <w:rPr>
          <w:rFonts w:hint="eastAsia"/>
        </w:rPr>
        <w:t>Description of JEB Paper Format</w:t>
      </w:r>
    </w:p>
    <w:p>
      <w:pPr>
        <w:pStyle w:val="JEB3"/>
        <w:spacing w:before="360" w:after="0"/>
        <w:rPr>
          <w:rFonts w:hint="eastAsia"/>
        </w:rPr>
      </w:pPr>
      <w:r>
        <w:rPr>
          <w:rFonts w:hint="eastAsia"/>
        </w:rPr>
        <w:t>Abstract</w:t>
      </w:r>
    </w:p>
    <w:p>
      <w:pPr>
        <w:pStyle w:val="JEB4"/>
        <w:spacing w:before="180" w:after="0"/>
        <w:ind w:endChars="0" w:end="0"/>
        <w:rPr/>
      </w:pPr>
      <w:r>
        <w:rPr>
          <w:rFonts w:hint="eastAsia"/>
        </w:rPr>
        <w:t xml:space="preserve">In this paper, we </w:t>
      </w:r>
      <w:r>
        <w:rPr/>
        <w:t>describe</w:t>
      </w:r>
      <w:r>
        <w:rPr>
          <w:rFonts w:hint="eastAsia"/>
        </w:rPr>
        <w:t xml:space="preserve"> how to compose your paper by following the JEB paper format. After finishing the typesetting, Please send your paper to assistant editor of JEB by </w:t>
        <w:t>E</w:t>
        <w:noBreakHyphen/>
        <w:t>mail</w:t>
        <w:t xml:space="preserve">.</w:t>
      </w:r>
    </w:p>
    <w:p>
      <w:pPr>
        <w:pStyle w:val="JEB6"/>
        <w:spacing w:before="180" w:after="0"/>
        <w:ind w:endChars="0" w:end="0"/>
        <w:rPr>
          <w:rFonts w:hint="eastAsia"/>
        </w:rPr>
      </w:pPr>
      <w:r>
        <w:rPr>
          <w:rFonts w:hint="eastAsia"/>
        </w:rPr>
        <w:t>Keywords: JEB, paper format</w:t>
      </w:r>
    </w:p>
    <w:p>
      <w:pPr>
        <w:pStyle w:val="JEB1"/>
        <w:rPr/>
      </w:pPr>
      <w:r>
        <w:rPr>
          <w:rFonts w:hint="eastAsia"/>
        </w:rPr>
        <w:t>1.</w:t>
      </w:r>
      <w:r>
        <w:rPr>
          <w:rFonts w:hint="eastAsia"/>
        </w:rPr>
        <w:t>稿件編排方式</w:t>
      </w:r>
    </w:p>
    <w:p>
      <w:pPr>
        <w:pStyle w:val="JEB"/>
        <w:spacing w:before="180" w:after="180"/>
        <w:ind w:endChars="0" w:end="0"/>
        <w:rPr/>
      </w:pPr>
      <w:r>
        <w:rPr>
          <w:rFonts w:hint="eastAsia"/>
        </w:rPr>
        <w:t>稿件內容應</w:t>
      </w:r>
      <w:r>
        <w:rPr/>
        <w:t>包括中英文摘要、正文、參考文獻及附錄，並依順序編入頁碼</w:t>
      </w:r>
      <w:r>
        <w:rPr>
          <w:rFonts w:hint="eastAsia"/>
        </w:rPr>
        <w:t>。以下分別介紹各部分排版所需注意事項。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稿件請以</w:t>
      </w:r>
      <w:r>
        <w:rPr>
          <w:rFonts w:hint="eastAsia"/>
        </w:rPr>
        <w:t>Word</w:t>
      </w:r>
      <w:r>
        <w:rPr>
          <w:rFonts w:hint="eastAsia"/>
        </w:rPr>
        <w:t>軟體排版。排版前，請先將</w:t>
      </w:r>
      <w:r>
        <w:rPr>
          <w:rFonts w:hint="eastAsia"/>
        </w:rPr>
        <w:t>JEB-Normal.dot</w:t>
      </w:r>
      <w:r>
        <w:rPr>
          <w:rFonts w:hint="eastAsia"/>
        </w:rPr>
        <w:t>範本匯入您的</w:t>
      </w:r>
      <w:r>
        <w:rPr>
          <w:rFonts w:hint="eastAsia"/>
        </w:rPr>
        <w:t>Word</w:t>
      </w:r>
      <w:r>
        <w:rPr>
          <w:rFonts w:hint="eastAsia"/>
        </w:rPr>
        <w:t>範本中，以</w:t>
      </w:r>
      <w:r>
        <w:rPr>
          <w:rFonts w:hint="eastAsia"/>
        </w:rPr>
        <w:t>Office XP</w:t>
      </w:r>
      <w:r>
        <w:rPr>
          <w:rFonts w:hint="eastAsia"/>
        </w:rPr>
        <w:t>為例，匯入範本步驟依序為：</w:t>
      </w:r>
      <w:r>
        <w:rPr>
          <w:rFonts w:hint="eastAsia"/>
        </w:rPr>
        <w:t>(1)</w:t>
      </w:r>
      <w:r>
        <w:rPr>
          <w:rFonts w:hint="eastAsia"/>
        </w:rPr>
        <w:t>開啟您的</w:t>
      </w:r>
      <w:r>
        <w:rPr>
          <w:rFonts w:hint="eastAsia"/>
        </w:rPr>
        <w:t>Word</w:t>
      </w:r>
      <w:r>
        <w:rPr>
          <w:rFonts w:hint="eastAsia"/>
        </w:rPr>
        <w:t>軟體，</w:t>
      </w:r>
      <w:r>
        <w:rPr>
          <w:rFonts w:hint="eastAsia"/>
        </w:rPr>
        <w:t>(2)</w:t>
      </w:r>
      <w:r>
        <w:rPr>
          <w:rFonts w:hint="eastAsia"/>
        </w:rPr>
        <w:t>點選「工具」功能，</w:t>
      </w:r>
      <w:r>
        <w:rPr>
          <w:rFonts w:hint="eastAsia"/>
        </w:rPr>
        <w:t>(3)</w:t>
      </w:r>
      <w:r>
        <w:rPr>
          <w:rFonts w:hint="eastAsia"/>
        </w:rPr>
        <w:t>選擇「範本與增益集」，</w:t>
      </w:r>
      <w:r>
        <w:rPr>
          <w:rFonts w:hint="eastAsia"/>
        </w:rPr>
        <w:t>(4)</w:t>
      </w:r>
      <w:r>
        <w:rPr>
          <w:rFonts w:hint="eastAsia"/>
        </w:rPr>
        <w:t>點選左下角「組合管理」選項，</w:t>
      </w:r>
      <w:r>
        <w:rPr>
          <w:rFonts w:hint="eastAsia"/>
        </w:rPr>
        <w:t>(5)</w:t>
      </w:r>
      <w:r>
        <w:rPr>
          <w:rFonts w:hint="eastAsia"/>
        </w:rPr>
        <w:t>選擇「樣式」頁籤，對話視窗右方為預設範本樣式格式，請點選下方「關閉檔案」選項將範本關閉，再點選「開啟檔案」選項，開啟</w:t>
      </w:r>
      <w:r>
        <w:rPr>
          <w:rFonts w:hint="eastAsia"/>
        </w:rPr>
        <w:t>JEB-Normal.dot</w:t>
      </w:r>
      <w:r>
        <w:rPr>
          <w:rFonts w:hint="eastAsia"/>
        </w:rPr>
        <w:t>範本檔案，</w:t>
      </w:r>
      <w:r>
        <w:rPr>
          <w:rFonts w:hint="eastAsia"/>
        </w:rPr>
        <w:t>(6)</w:t>
      </w:r>
      <w:r>
        <w:rPr>
          <w:rFonts w:hint="eastAsia"/>
        </w:rPr>
        <w:t>選擇所有具有「</w:t>
      </w:r>
      <w:r>
        <w:rPr>
          <w:rFonts w:hint="eastAsia"/>
        </w:rPr>
        <w:t>JEB</w:t>
      </w:r>
      <w:r>
        <w:rPr>
          <w:rFonts w:hint="eastAsia"/>
        </w:rPr>
        <w:t>」字樣之樣式並複製到左方您的文件樣式中，即可將此範本檔案匯入您的</w:t>
      </w:r>
      <w:r>
        <w:rPr>
          <w:rFonts w:hint="eastAsia"/>
        </w:rPr>
        <w:t>Word</w:t>
      </w:r>
      <w:r>
        <w:rPr>
          <w:rFonts w:hint="eastAsia"/>
        </w:rPr>
        <w:t>範本中。</w:t>
      </w:r>
    </w:p>
    <w:p>
      <w:pPr>
        <w:pStyle w:val="JEB11"/>
        <w:rPr>
          <w:rFonts w:hint="eastAsia"/>
        </w:rPr>
      </w:pPr>
      <w:r>
        <w:rPr>
          <w:rFonts w:hint="eastAsia"/>
        </w:rPr>
        <w:t xml:space="preserve">1.1 </w:t>
      </w:r>
      <w:r>
        <w:rPr>
          <w:rFonts w:hint="eastAsia"/>
        </w:rPr>
        <w:t>摘要頁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/>
        <w:t>摘要頁包括論文名稱、</w:t>
      </w:r>
      <w:r>
        <w:rPr>
          <w:rFonts w:hint="eastAsia"/>
        </w:rPr>
        <w:t/>
      </w:r>
      <w:r>
        <w:rPr/>
        <w:t>摘要及關鍵詞</w:t>
      </w:r>
      <w:r>
        <w:rPr>
          <w:rFonts w:hint="eastAsia"/>
        </w:rPr>
        <w:t>（</w:t>
      </w:r>
      <w:r>
        <w:rPr/>
        <w:t>中英文各一</w:t>
      </w:r>
      <w:r>
        <w:rPr>
          <w:rFonts w:hint="eastAsia"/>
        </w:rPr>
        <w:t>）</w:t>
      </w:r>
      <w:r>
        <w:rPr/>
        <w:t>。摘要文長不超過三百字</w:t>
      </w:r>
      <w:r>
        <w:rPr>
          <w:rFonts w:hint="eastAsia"/>
        </w:rPr>
        <w:t>，</w:t>
      </w:r>
      <w:r>
        <w:rPr/>
        <w:t>關鍵詞以五個為限。匿名稿件請勿列出作者姓名、服務機構或其他辨識資訊。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論文名稱格式請使用</w:t>
      </w:r>
      <w:r>
        <w:rPr>
          <w:rFonts w:hint="eastAsia"/>
        </w:rPr>
        <w:t>JEB-Normal.dot</w:t>
      </w:r>
      <w:r>
        <w:rPr>
          <w:rFonts w:hint="eastAsia"/>
        </w:rPr>
        <w:t>範本中的「</w:t>
      </w:r>
      <w:r>
        <w:rPr>
          <w:rFonts w:hint="eastAsia"/>
        </w:rPr>
        <w:t>JEB</w:t>
      </w:r>
      <w:r>
        <w:rPr>
          <w:rFonts w:hint="eastAsia"/>
        </w:rPr>
        <w:t>標題」樣式，</w:t>
      </w:r>
      <w:r>
        <w:rPr>
          <w:rFonts w:hint="eastAsia"/>
        </w:rPr>
        <w:t/>
      </w:r>
      <w:r>
        <w:rPr>
          <w:rFonts w:hint="eastAsia"/>
        </w:rPr>
        <w:t>摘要格式請用「</w:t>
      </w:r>
      <w:r>
        <w:rPr>
          <w:rFonts w:hint="eastAsia"/>
        </w:rPr>
        <w:t>JEB</w:t>
      </w:r>
      <w:r>
        <w:rPr>
          <w:rFonts w:hint="eastAsia"/>
        </w:rPr>
        <w:t>摘要」樣式，關鍵詞請用「</w:t>
      </w:r>
      <w:r>
        <w:rPr>
          <w:rFonts w:hint="eastAsia"/>
        </w:rPr>
        <w:t>JEB</w:t>
      </w:r>
      <w:r>
        <w:rPr>
          <w:rFonts w:hint="eastAsia"/>
        </w:rPr>
        <w:t>關鍵詞」樣式。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若為中文稿件，請先以中文書寫摘要頁所需具備之資訊，再以英文書寫摘要頁所需具備之資訊。若為英文稿件，請先以英文書寫摘要頁所需具備之資訊，再以中文書寫摘要頁所需具備之資訊。</w:t>
      </w:r>
    </w:p>
    <w:p>
      <w:pPr>
        <w:pStyle w:val="JEB11"/>
        <w:rPr>
          <w:rFonts w:hint="eastAsia"/>
        </w:rPr>
      </w:pPr>
      <w:r>
        <w:rPr>
          <w:rFonts w:hint="eastAsia"/>
        </w:rPr>
        <w:t xml:space="preserve">1.2 </w:t>
      </w:r>
      <w:r>
        <w:rPr>
          <w:rFonts w:hint="eastAsia"/>
        </w:rPr>
        <w:t>正文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論文章節標題格式，請依序使用「</w:t>
      </w:r>
      <w:r>
        <w:rPr>
          <w:rFonts w:hint="eastAsia"/>
        </w:rPr>
        <w:t>JEB 1.</w:t>
      </w:r>
      <w:r>
        <w:rPr>
          <w:rFonts w:hint="eastAsia"/>
        </w:rPr>
        <w:t>」、「</w:t>
      </w:r>
      <w:r>
        <w:rPr>
          <w:rFonts w:hint="eastAsia"/>
        </w:rPr>
        <w:t>JEB 1.1.</w:t>
      </w:r>
      <w:r>
        <w:rPr>
          <w:rFonts w:hint="eastAsia"/>
        </w:rPr>
        <w:t>」、「</w:t>
      </w:r>
      <w:r>
        <w:rPr>
          <w:rFonts w:hint="eastAsia"/>
        </w:rPr>
        <w:t>JEB 1.1.1.</w:t>
      </w:r>
      <w:r>
        <w:rPr>
          <w:rFonts w:hint="eastAsia"/>
        </w:rPr>
        <w:t>」樣式編排。章節內若需再細分或標示分項，請採用「</w:t>
      </w:r>
      <w:r>
        <w:rPr>
          <w:rFonts w:hint="eastAsia"/>
        </w:rPr>
        <w:t>(1)</w:t>
      </w:r>
      <w:r>
        <w:rPr>
          <w:rFonts w:hint="eastAsia"/>
        </w:rPr>
        <w:t>分項項目」標示，若需再往下細分，請採用「</w:t>
      </w:r>
      <w:r>
        <w:rPr>
          <w:rFonts w:hint="eastAsia"/>
        </w:rPr>
        <w:t>(a)</w:t>
      </w:r>
      <w:r>
        <w:rPr>
          <w:rFonts w:hint="eastAsia"/>
        </w:rPr>
        <w:t>細分分項項目」標示，內文完整標示法，請參見圖</w:t>
      </w:r>
      <w:r>
        <w:rPr>
          <w:rFonts w:hint="eastAsia"/>
        </w:rPr>
        <w:t>1</w:t>
      </w:r>
      <w:r>
        <w:rPr>
          <w:rFonts w:hint="eastAsia"/>
        </w:rPr>
        <w:t>或參考本文</w:t>
      </w:r>
      <w:r>
        <w:rPr>
          <w:rFonts w:hint="eastAsia"/>
        </w:rPr>
        <w:t>1.2.2</w:t>
      </w:r>
      <w:r>
        <w:rPr>
          <w:rFonts w:hint="eastAsia"/>
        </w:rPr>
        <w:t>項目編排方式。</w:t>
      </w:r>
    </w:p>
    <w:tbl>
      <w:tblPr>
        <w:tblW w:w="2050" w:type="pct"/>
        <w:jc w:val="center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</w:tblPr>
      <w:tblGrid>
        <w:gridCol w:w="3405"/>
      </w:tblGrid>
      <w:tr>
        <w:trPr>
          <w:trHeight w:val="810" w:hRule="atLeast"/>
        </w:trPr>
        <w:tc>
          <w:tcPr>
            <w:tcW w:w="340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vAlign w:val="center"/>
          </w:tcPr>
          <w:p>
            <w:pPr>
              <w:pStyle w:val="JEB"/>
              <w:spacing w:before="0" w:after="0"/>
              <w:ind w:endChars="0" w:end="0"/>
              <w:rPr>
                <w:rFonts w:hint="eastAsia"/>
              </w:rPr>
            </w:pPr>
            <w:r>
              <w:rPr>
                <w:rFonts w:hint="eastAsia"/>
              </w:rPr>
              <w:t xml:space="preserve">1. </w:t>
            </w:r>
            <w:r>
              <w:rPr/>
              <w:t>緒論</w:t>
            </w:r>
          </w:p>
          <w:p>
            <w:pPr>
              <w:pStyle w:val="JEB"/>
              <w:spacing w:before="0" w:after="0"/>
              <w:ind w:endChars="0" w:end="0"/>
              <w:rPr>
                <w:rFonts w:hint="eastAsia"/>
              </w:rPr>
            </w:pPr>
            <w:r>
              <w:rPr/>
              <w:t>2</w:t>
            </w:r>
            <w:r>
              <w:rPr>
                <w:rFonts w:hint="eastAsia"/>
              </w:rPr>
              <w:t xml:space="preserve">. </w:t>
            </w:r>
            <w:r>
              <w:rPr/>
              <w:t>文獻探討</w:t>
            </w:r>
          </w:p>
          <w:p>
            <w:pPr>
              <w:pStyle w:val="JEB"/>
              <w:spacing w:before="0" w:after="0"/>
              <w:ind w:endChars="0" w:end="0"/>
              <w:rPr>
                <w:rFonts w:hint="eastAsia"/>
              </w:rPr>
            </w:pPr>
            <w:r>
              <w:rPr/>
              <w:t>3</w:t>
            </w:r>
            <w:r>
              <w:rPr>
                <w:rFonts w:hint="eastAsia"/>
              </w:rPr>
              <w:t xml:space="preserve">. </w:t>
            </w:r>
            <w:r>
              <w:rPr/>
              <w:t>研究方法與步驟</w:t>
            </w:r>
          </w:p>
          <w:p>
            <w:pPr>
              <w:pStyle w:val="JEB"/>
              <w:spacing w:before="0" w:after="0"/>
              <w:ind w:endChars="0" w:end="0"/>
              <w:rPr/>
            </w:pPr>
            <w:r>
              <w:rPr/>
              <w:t xml:space="preserve">  </w:t>
            </w:r>
            <w:r>
              <w:rPr/>
              <w:t xml:space="preserve">3.1 </w:t>
            </w:r>
            <w:r>
              <w:rPr/>
              <w:t>研究模式</w:t>
            </w:r>
          </w:p>
          <w:p>
            <w:pPr>
              <w:pStyle w:val="JEB"/>
              <w:spacing w:before="0" w:after="0"/>
              <w:ind w:endChars="0" w:end="0"/>
              <w:rPr/>
            </w:pPr>
            <w:r>
              <w:rPr/>
              <w:t xml:space="preserve">     </w:t>
            </w:r>
            <w:r>
              <w:rPr/>
              <w:t xml:space="preserve">(1) </w:t>
            </w:r>
            <w:r>
              <w:rPr/>
              <w:t>研究方法一</w:t>
            </w:r>
          </w:p>
          <w:p>
            <w:pPr>
              <w:pStyle w:val="JEB"/>
              <w:spacing w:before="0" w:after="0"/>
              <w:ind w:endChars="0" w:end="0"/>
              <w:rPr/>
            </w:pPr>
            <w:r>
              <w:rPr/>
              <w:t xml:space="preserve">        </w:t>
            </w:r>
            <w:r>
              <w:rPr/>
              <w:t xml:space="preserve">(a) </w:t>
            </w:r>
            <w:r>
              <w:rPr/>
              <w:t>步驟一</w:t>
            </w:r>
          </w:p>
        </w:tc>
      </w:tr>
    </w:tbl>
    <w:p>
      <w:pPr>
        <w:pStyle w:val="JEB7"/>
        <w:rPr>
          <w:rFonts w:hint="eastAsia"/>
        </w:rPr>
      </w:pPr>
      <w:r>
        <w:rPr>
          <w:rFonts w:hint="eastAsia"/>
        </w:rPr>
        <w:t>圖</w:t>
      </w:r>
      <w:r>
        <w:rPr>
          <w:rFonts w:hint="eastAsia"/>
        </w:rPr>
        <w:t>1</w:t>
      </w:r>
      <w:r>
        <w:rPr>
          <w:rFonts w:hint="eastAsia"/>
        </w:rPr>
        <w:t>　內文完整標示法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文章內容之格式，請一律採用「</w:t>
      </w:r>
      <w:r>
        <w:rPr>
          <w:rFonts w:hint="eastAsia"/>
        </w:rPr>
        <w:t>JEB</w:t>
      </w:r>
      <w:r>
        <w:rPr>
          <w:rFonts w:hint="eastAsia"/>
        </w:rPr>
        <w:t>內文」樣式，中文請用新細明體，英文請用</w:t>
      </w:r>
      <w:r>
        <w:rPr>
          <w:rFonts w:hint="eastAsia"/>
        </w:rPr>
        <w:t>Times New Roman</w:t>
      </w:r>
      <w:r>
        <w:rPr>
          <w:rFonts w:hint="eastAsia"/>
        </w:rPr>
        <w:t>字體，字體大小為</w:t>
      </w:r>
      <w:r>
        <w:rPr>
          <w:rFonts w:hint="eastAsia"/>
        </w:rPr>
        <w:t>12</w:t>
      </w:r>
      <w:r>
        <w:rPr>
          <w:rFonts w:hint="eastAsia"/>
        </w:rPr>
        <w:t>點字。</w:t>
      </w:r>
    </w:p>
    <w:p>
      <w:pPr>
        <w:pStyle w:val="JEB111"/>
        <w:rPr>
          <w:rFonts w:hint="eastAsia"/>
        </w:rPr>
      </w:pPr>
      <w:r>
        <w:rPr>
          <w:rFonts w:hint="eastAsia"/>
        </w:rPr>
        <w:t xml:space="preserve">1.2.1 </w:t>
      </w:r>
      <w:r>
        <w:rPr>
          <w:rFonts w:hint="eastAsia"/>
        </w:rPr>
        <w:t>註解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若需要對文章內容進行註解，</w:t>
      </w:r>
      <w:r>
        <w:rPr/>
        <w:t>請附註於當頁下</w:t>
      </w:r>
      <w:r>
        <w:rPr>
          <w:rFonts w:hint="eastAsia"/>
        </w:rPr>
        <w:t>端</w:t>
      </w:r>
      <w:r>
        <w:rPr/>
        <w:t>並以橫線分隔</w:t>
      </w:r>
      <w:r>
        <w:rPr>
          <w:rFonts w:hint="eastAsia"/>
        </w:rPr>
        <w:t>或採用</w:t>
      </w:r>
      <w:r>
        <w:rPr>
          <w:rFonts w:hint="eastAsia"/>
        </w:rPr>
        <w:t>Word</w:t>
      </w:r>
      <w:r>
        <w:rPr>
          <w:rFonts w:hint="eastAsia"/>
        </w:rPr>
        <w:t>軟體中註腳設定</w:t>
      </w:r>
      <w:r>
        <w:rPr/>
        <w:t>。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Word</w:t>
      </w:r>
      <w:r>
        <w:rPr>
          <w:rFonts w:hint="eastAsia"/>
        </w:rPr>
        <w:t>軟體中註腳設定方式，以</w:t>
      </w:r>
      <w:r>
        <w:rPr>
          <w:rFonts w:hint="eastAsia"/>
        </w:rPr>
        <w:t>Office XP</w:t>
      </w:r>
      <w:r>
        <w:rPr>
          <w:rFonts w:hint="eastAsia"/>
        </w:rPr>
        <w:t>為例，步驟如下：</w:t>
      </w:r>
      <w:r>
        <w:rPr>
          <w:rFonts w:hint="eastAsia"/>
        </w:rPr>
        <w:t>(1)</w:t>
      </w:r>
      <w:r>
        <w:rPr>
          <w:rFonts w:hint="eastAsia"/>
        </w:rPr>
        <w:t>點選「插入」功能表列，</w:t>
      </w:r>
      <w:r>
        <w:rPr>
          <w:rFonts w:hint="eastAsia"/>
        </w:rPr>
        <w:t>(2)</w:t>
      </w:r>
      <w:r>
        <w:rPr>
          <w:rFonts w:hint="eastAsia"/>
        </w:rPr>
        <w:t>選擇「參照」中之「註腳」，即可使用註腳與章節附註功能。</w:t>
      </w:r>
    </w:p>
    <w:p>
      <w:pPr>
        <w:pStyle w:val="JEB111"/>
        <w:rPr>
          <w:rFonts w:hint="eastAsia"/>
        </w:rPr>
      </w:pPr>
      <w:r>
        <w:rPr>
          <w:rFonts w:hint="eastAsia"/>
        </w:rPr>
        <w:t xml:space="preserve">1.2.2 </w:t>
      </w:r>
      <w:r>
        <w:rPr>
          <w:rFonts w:hint="eastAsia"/>
        </w:rPr>
        <w:t>文獻引用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正文內引用文獻書寫方式，請參考以下範例。</w:t>
      </w:r>
    </w:p>
    <w:p>
      <w:pPr>
        <w:pStyle w:val="JEB-1"/>
        <w:numPr>
          <w:ilvl w:val="0"/>
          <w:numId w:val="4"/>
        </w:numPr>
        <w:rPr>
          <w:rFonts w:hint="eastAsia"/>
          <w:b/>
        </w:rPr>
      </w:pPr>
      <w:r>
        <w:rPr>
          <w:rFonts w:hint="eastAsia"/>
          <w:b/>
        </w:rPr>
        <w:t>句首引用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/>
        <w:t>Marien</w:t>
      </w:r>
      <w:r>
        <w:rPr/>
        <w:t>（</w:t>
      </w:r>
      <w:r>
        <w:rPr/>
        <w:t>1994</w:t>
      </w:r>
      <w:r>
        <w:rPr/>
        <w:t>）認為資訊超載是人們急於想趕上資訊產生的腳步，卻發現已經落後的部分越來越多。</w:t>
      </w:r>
    </w:p>
    <w:p>
      <w:pPr>
        <w:pStyle w:val="JEB"/>
        <w:spacing w:before="180" w:after="180"/>
        <w:ind w:endChars="0" w:end="0"/>
        <w:rPr/>
      </w:pPr>
      <w:r>
        <w:rPr/>
        <w:t>Thonemann (2002)</w:t>
      </w:r>
      <w:r>
        <w:rPr>
          <w:rFonts w:hint="eastAsia"/>
        </w:rPr>
        <w:t xml:space="preserve"> found the </w:t>
      </w:r>
      <w:r>
        <w:rPr/>
        <w:t>supplier’</w:t>
      </w:r>
      <w:r>
        <w:rPr>
          <w:rFonts w:hint="eastAsia"/>
        </w:rPr>
        <w:t xml:space="preserve">s </w:t>
      </w:r>
      <w:r>
        <w:rPr/>
        <w:t xml:space="preserve">average demand delivery and standard deviation </w:t>
      </w:r>
      <w:r>
        <w:rPr>
          <w:rFonts w:hint="eastAsia"/>
        </w:rPr>
        <w:t>can be improved through</w:t>
      </w:r>
      <w:r>
        <w:rPr/>
        <w:t xml:space="preserve"> information sharing</w:t>
      </w:r>
      <w:r>
        <w:rPr>
          <w:rFonts w:hint="eastAsia"/>
        </w:rPr>
        <w:t xml:space="preserve"> in supply chain.</w:t>
      </w:r>
    </w:p>
    <w:p>
      <w:pPr>
        <w:pStyle w:val="JEB-1"/>
        <w:numPr>
          <w:ilvl w:val="0"/>
          <w:numId w:val="4"/>
        </w:numPr>
        <w:rPr>
          <w:rFonts w:hint="eastAsia"/>
          <w:b/>
        </w:rPr>
      </w:pPr>
      <w:r>
        <w:rPr>
          <w:rFonts w:hint="eastAsia"/>
          <w:b/>
        </w:rPr>
        <w:t>句中和句尾引用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因此，相關研究均指出，非故意的審計失敗通常是可以避免的（傅鍾仁等人，</w:t>
      </w:r>
      <w:r>
        <w:rPr/>
        <w:t>2005</w:t>
      </w:r>
      <w:r>
        <w:rPr>
          <w:rFonts w:hint="eastAsia"/>
        </w:rPr>
        <w:t>；盧正宗、</w:t>
      </w:r>
      <w:r>
        <w:rPr/>
        <w:t>祝道松</w:t>
      </w:r>
      <w:r>
        <w:rPr>
          <w:rFonts w:hint="eastAsia"/>
        </w:rPr>
        <w:t>，</w:t>
      </w:r>
      <w:r>
        <w:rPr>
          <w:rFonts w:hint="eastAsia"/>
        </w:rPr>
        <w:t>201</w:t>
      </w:r>
      <w:r>
        <w:rPr/>
        <w:t>0</w:t>
      </w:r>
      <w:r>
        <w:rPr>
          <w:rFonts w:hint="eastAsia"/>
        </w:rPr>
        <w:t>；</w:t>
      </w:r>
      <w:r>
        <w:rPr/>
        <w:t>Bedard</w:t>
      </w:r>
      <w:r>
        <w:rPr>
          <w:rFonts w:hint="eastAsia"/>
        </w:rPr>
        <w:t xml:space="preserve"> et al.</w:t>
      </w:r>
      <w:r>
        <w:rPr/>
        <w:t>, 2007</w:t>
      </w:r>
      <w:r>
        <w:rPr>
          <w:rFonts w:hint="eastAsia"/>
        </w:rPr>
        <w:t xml:space="preserve">; </w:t>
      </w:r>
      <w:r>
        <w:rPr/>
        <w:t>O’Leary</w:t>
      </w:r>
      <w:r>
        <w:rPr>
          <w:rFonts w:hint="eastAsia"/>
        </w:rPr>
        <w:t xml:space="preserve"> and</w:t>
      </w:r>
      <w:r>
        <w:rPr/>
        <w:t xml:space="preserve"> Stewart</w:t>
      </w:r>
      <w:r>
        <w:rPr>
          <w:rFonts w:hint="eastAsia"/>
        </w:rPr>
        <w:t>, 2007</w:t>
      </w:r>
      <w:r>
        <w:rPr>
          <w:rFonts w:hint="eastAsia"/>
        </w:rPr>
        <w:t>）。</w:t>
      </w:r>
    </w:p>
    <w:p>
      <w:pPr>
        <w:pStyle w:val="JEB"/>
        <w:spacing w:before="180" w:after="180"/>
        <w:ind w:endChars="0" w:end="0"/>
        <w:rPr/>
      </w:pPr>
      <w:r>
        <w:rPr>
          <w:rFonts w:hint="eastAsia"/>
        </w:rPr>
        <w:t>Based on previous</w:t>
      </w:r>
      <w:r>
        <w:rPr/>
        <w:t xml:space="preserve"> researc</w:t>
      </w:r>
      <w:r>
        <w:rPr>
          <w:rFonts w:hint="eastAsia"/>
        </w:rPr>
        <w:t>h</w:t>
      </w:r>
      <w:r>
        <w:rPr/>
        <w:t xml:space="preserve"> in GDSS and </w:t>
      </w:r>
      <w:r>
        <w:rPr>
          <w:rFonts w:hint="eastAsia"/>
        </w:rPr>
        <w:t>CPS (Creative Problem Solving)</w:t>
      </w:r>
      <w:r>
        <w:rPr/>
        <w:t xml:space="preserve"> </w:t>
      </w:r>
      <w:r>
        <w:rPr>
          <w:rFonts w:hint="eastAsia"/>
        </w:rPr>
        <w:t xml:space="preserve">(Liou and Chen, 1993; Wang and Horng, 2002; Warkentin et al., 1997), </w:t>
      </w:r>
      <w:r>
        <w:rPr/>
        <w:t xml:space="preserve">TeamSpirit is </w:t>
      </w:r>
      <w:r>
        <w:rPr>
          <w:rFonts w:hint="eastAsia"/>
        </w:rPr>
        <w:t xml:space="preserve">employed as </w:t>
      </w:r>
      <w:r>
        <w:rPr/>
        <w:t xml:space="preserve">a Web-based group </w:t>
      </w:r>
      <w:r>
        <w:rPr>
          <w:rFonts w:hint="eastAsia"/>
        </w:rPr>
        <w:t>decision</w:t>
      </w:r>
      <w:r>
        <w:rPr/>
        <w:t xml:space="preserve"> </w:t>
      </w:r>
      <w:r>
        <w:rPr>
          <w:rFonts w:hint="eastAsia"/>
        </w:rPr>
        <w:t xml:space="preserve">making and </w:t>
      </w:r>
      <w:r>
        <w:rPr/>
        <w:t>problem</w:t>
      </w:r>
      <w:r>
        <w:rPr>
          <w:rFonts w:hint="eastAsia"/>
        </w:rPr>
        <w:t>-</w:t>
      </w:r>
      <w:r>
        <w:rPr/>
        <w:t>solving support system for distributed teams</w:t>
      </w:r>
      <w:r>
        <w:rPr>
          <w:rFonts w:hint="eastAsia"/>
        </w:rPr>
        <w:t>.</w:t>
      </w:r>
    </w:p>
    <w:p>
      <w:pPr>
        <w:pStyle w:val="JEB111"/>
        <w:rPr>
          <w:rFonts w:hint="eastAsia"/>
        </w:rPr>
      </w:pPr>
      <w:r>
        <w:rPr>
          <w:rFonts w:hint="eastAsia"/>
        </w:rPr>
        <w:t xml:space="preserve">1.2.3 </w:t>
      </w:r>
      <w:r>
        <w:rPr>
          <w:rFonts w:hint="eastAsia"/>
        </w:rPr>
        <w:t>圖表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圖表請放置於正文中第一次出現的段落下方，表標題請放置於表上方，圖標題請置於圖下方，並依序以</w:t>
      </w:r>
      <w:r>
        <w:rPr/>
        <w:t>阿拉伯數字</w:t>
      </w:r>
      <w:r>
        <w:rPr>
          <w:rFonts w:hint="eastAsia"/>
        </w:rPr>
        <w:t>編號（如：圖</w:t>
      </w:r>
      <w:r>
        <w:rPr>
          <w:rFonts w:hint="eastAsia"/>
        </w:rPr>
        <w:t>1</w:t>
      </w:r>
      <w:r>
        <w:rPr>
          <w:rFonts w:hint="eastAsia"/>
        </w:rPr>
        <w:t>，圖</w:t>
      </w:r>
      <w:r>
        <w:rPr>
          <w:rFonts w:hint="eastAsia"/>
        </w:rPr>
        <w:t>2</w:t>
      </w:r>
      <w:r>
        <w:rPr>
          <w:rFonts w:hint="eastAsia"/>
        </w:rPr>
        <w:t>，圖</w:t>
      </w:r>
      <w:r>
        <w:rPr>
          <w:rFonts w:hint="eastAsia"/>
        </w:rPr>
        <w:t>3</w:t>
      </w:r>
      <w:r>
        <w:rPr>
          <w:rFonts w:hint="eastAsia"/>
        </w:rPr>
        <w:t>；表</w:t>
      </w:r>
      <w:r>
        <w:rPr>
          <w:rFonts w:hint="eastAsia"/>
        </w:rPr>
        <w:t>1</w:t>
      </w:r>
      <w:r>
        <w:rPr>
          <w:rFonts w:hint="eastAsia"/>
        </w:rPr>
        <w:t>，表</w:t>
      </w:r>
      <w:r>
        <w:rPr>
          <w:rFonts w:hint="eastAsia"/>
        </w:rPr>
        <w:t>2</w:t>
      </w:r>
      <w:r>
        <w:rPr>
          <w:rFonts w:hint="eastAsia"/>
        </w:rPr>
        <w:t>，表</w:t>
      </w:r>
      <w:r>
        <w:rPr>
          <w:rFonts w:hint="eastAsia"/>
        </w:rPr>
        <w:t>3</w:t>
      </w:r>
      <w:r>
        <w:rPr>
          <w:rFonts w:hint="eastAsia"/>
        </w:rPr>
        <w:t>），圖、表之標題格式請採用「</w:t>
      </w:r>
      <w:r>
        <w:rPr>
          <w:rFonts w:hint="eastAsia"/>
        </w:rPr>
        <w:t>JEB</w:t>
      </w:r>
      <w:r>
        <w:rPr>
          <w:rFonts w:hint="eastAsia"/>
        </w:rPr>
        <w:t>圖表標題」樣式。對圖、表</w:t>
      </w:r>
      <w:r>
        <w:rPr/>
        <w:t>內容</w:t>
      </w:r>
      <w:r>
        <w:rPr>
          <w:rFonts w:hint="eastAsia"/>
        </w:rPr>
        <w:t>（</w:t>
      </w:r>
      <w:r>
        <w:rPr/>
        <w:t>如</w:t>
      </w:r>
      <w:r>
        <w:rPr>
          <w:rFonts w:hint="eastAsia"/>
        </w:rPr>
        <w:t>圖、</w:t>
      </w:r>
      <w:r>
        <w:rPr/>
        <w:t>表中之符</w:t>
      </w:r>
      <w:r>
        <w:rPr>
          <w:rFonts w:hint="eastAsia"/>
        </w:rPr>
        <w:t>號）</w:t>
      </w:r>
      <w:r>
        <w:rPr/>
        <w:t>作簡要說明時，請置於圖、表下方。</w:t>
      </w:r>
    </w:p>
    <w:p>
      <w:pPr>
        <w:pStyle w:val="JEB111"/>
        <w:rPr>
          <w:rFonts w:hint="eastAsia"/>
        </w:rPr>
      </w:pPr>
      <w:r>
        <w:rPr>
          <w:rFonts w:hint="eastAsia"/>
        </w:rPr>
        <w:t xml:space="preserve">1.2.4 </w:t>
      </w:r>
      <w:r>
        <w:rPr>
          <w:rFonts w:hint="eastAsia"/>
        </w:rPr>
        <w:t>方程式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方程式請一律使用</w:t>
      </w:r>
      <w:r>
        <w:rPr>
          <w:rFonts w:hint="eastAsia"/>
        </w:rPr>
        <w:t>Word</w:t>
      </w:r>
      <w:r>
        <w:rPr>
          <w:rFonts w:hint="eastAsia"/>
        </w:rPr>
        <w:t>的方程式編輯器功能，方程式編號請依照阿拉伯數字依序編號，不需加入章節數字。方程式後方請以小括號將方程式阿拉伯數字編號括住。</w:t>
      </w:r>
    </w:p>
    <w:p>
      <w:pPr>
        <w:pStyle w:val="JEB111"/>
        <w:rPr>
          <w:rFonts w:hint="eastAsia"/>
        </w:rPr>
      </w:pPr>
      <w:r>
        <w:rPr>
          <w:rFonts w:hint="eastAsia"/>
        </w:rPr>
        <w:t xml:space="preserve">1.2.5 </w:t>
      </w:r>
      <w:r>
        <w:rPr>
          <w:rFonts w:hint="eastAsia"/>
        </w:rPr>
        <w:t>參考文獻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參考文獻請將中文列於前，英文列於後，中文請依照作者姓氏筆畫排序，英文請依照作者姓氏字母排序並將第一作者之姓氏置於文獻之首。參考文獻編寫統一格式請參考表</w:t>
      </w:r>
      <w:r>
        <w:rPr>
          <w:rFonts w:hint="eastAsia"/>
        </w:rPr>
        <w:t>1</w:t>
      </w:r>
      <w:r>
        <w:rPr>
          <w:rFonts w:hint="eastAsia"/>
        </w:rPr>
        <w:t>，參考文獻內容請使用「</w:t>
      </w:r>
      <w:r>
        <w:rPr>
          <w:rFonts w:hint="eastAsia"/>
        </w:rPr>
        <w:t>JEB</w:t>
      </w:r>
      <w:r>
        <w:rPr>
          <w:rFonts w:hint="eastAsia"/>
        </w:rPr>
        <w:t>參考文獻」樣式，不需加入編號。</w:t>
      </w:r>
    </w:p>
    <w:p>
      <w:pPr>
        <w:pStyle w:val="JEB7"/>
        <w:rPr/>
      </w:pPr>
      <w:r>
        <w:rPr/>
        <w:t>表</w:t>
      </w:r>
      <w:r>
        <w:rPr/>
        <w:t>1</w:t>
      </w:r>
      <w:r>
        <w:rPr/>
        <w:t>　參考文獻編寫格式</w:t>
      </w:r>
    </w:p>
    <w:tbl>
      <w:tblPr>
        <w:tblW w:w="849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98"/>
        <w:gridCol w:w="6493"/>
      </w:tblGrid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文獻類別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範例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</w:rPr>
            </w:pPr>
            <w:r>
              <w:rPr/>
              <w:t>期</w:t>
            </w:r>
            <w:r>
              <w:rPr>
                <w:rFonts w:hint="eastAsia"/>
              </w:rPr>
              <w:t>刊</w:t>
            </w:r>
            <w:r>
              <w:rPr/>
              <w:t>論文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葉禾田、陳玉音（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）。適用於行動設備的數位權利管理系統。</w:t>
            </w:r>
            <w:r>
              <w:rPr>
                <w:rFonts w:hint="eastAsia"/>
                <w:i/>
              </w:rPr>
              <w:t>電子商務學報</w:t>
            </w:r>
            <w:r>
              <w:rPr/>
              <w:t>，</w:t>
            </w:r>
            <w:r>
              <w:rPr>
                <w:rFonts w:hint="eastAsia"/>
                <w:i/>
              </w:rPr>
              <w:t>14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/>
              <w:t>，</w:t>
            </w:r>
            <w:r>
              <w:rPr>
                <w:rFonts w:hint="eastAsia"/>
              </w:rPr>
              <w:t>53</w:t>
            </w:r>
            <w:r>
              <w:rPr/>
              <w:t>-</w:t>
            </w:r>
            <w:r>
              <w:rPr>
                <w:rFonts w:hint="eastAsia"/>
              </w:rPr>
              <w:t>72</w:t>
            </w:r>
            <w:r>
              <w:rPr/>
              <w:t>。</w:t>
            </w:r>
          </w:p>
          <w:p>
            <w:pPr>
              <w:pStyle w:val="JEB8"/>
              <w:spacing w:before="108" w:after="108"/>
              <w:ind w:endChars="0" w:end="0"/>
              <w:rPr>
                <w:rFonts w:hint="eastAsia"/>
              </w:rPr>
            </w:pPr>
            <w:r>
              <w:rPr>
                <w:rFonts w:hint="eastAsia"/>
              </w:rPr>
              <w:t xml:space="preserve">Liang, H. M., Chuang, C. F., &amp; Chen, C. M. (2012). Exploring the effects of sharing information on expected cost under the VMI model. </w:t>
            </w:r>
            <w:r>
              <w:rPr>
                <w:rFonts w:hint="eastAsia"/>
                <w:i/>
              </w:rPr>
              <w:t>Journal of e-Business</w:t>
            </w:r>
            <w:r>
              <w:rPr/>
              <w:t xml:space="preserve">, </w:t>
            </w:r>
            <w:r>
              <w:rPr>
                <w:rFonts w:hint="eastAsia"/>
                <w:i/>
              </w:rPr>
              <w:t>14</w:t>
            </w:r>
            <w:r>
              <w:rPr/>
              <w:t>(</w:t>
            </w:r>
            <w:r>
              <w:rPr>
                <w:rFonts w:hint="eastAsia"/>
              </w:rPr>
              <w:t>2</w:t>
            </w:r>
            <w:r>
              <w:rPr/>
              <w:t xml:space="preserve">), </w:t>
            </w:r>
            <w:r>
              <w:rPr>
                <w:rFonts w:hint="eastAsia"/>
              </w:rPr>
              <w:t>329-352</w:t>
            </w:r>
            <w:r>
              <w:rPr/>
              <w:t>.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</w:rPr>
            </w:pPr>
            <w:r>
              <w:rPr/>
              <w:t>書籍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、一般書籍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謝清佳、吳琮璠（</w:t>
            </w:r>
            <w:r>
              <w:rPr>
                <w:rFonts w:hint="eastAsia"/>
              </w:rPr>
              <w:t>2009</w:t>
            </w:r>
            <w:r>
              <w:rPr>
                <w:rFonts w:hint="eastAsia"/>
              </w:rPr>
              <w:t>）</w:t>
            </w:r>
            <w:r>
              <w:rPr/>
              <w:t>。</w:t>
            </w:r>
            <w:r>
              <w:rPr>
                <w:rFonts w:hint="eastAsia"/>
                <w:i/>
              </w:rPr>
              <w:t>資訊管理：理論與實務</w:t>
            </w:r>
            <w:r>
              <w:rPr/>
              <w:t>。</w:t>
            </w:r>
            <w:r>
              <w:rPr>
                <w:rFonts w:hint="eastAsia"/>
              </w:rPr>
              <w:t>臺</w:t>
            </w:r>
            <w:r>
              <w:rPr/>
              <w:t>北</w:t>
            </w:r>
            <w:r>
              <w:rPr>
                <w:rFonts w:hint="eastAsia"/>
              </w:rPr>
              <w:t>市</w:t>
            </w:r>
            <w:r>
              <w:rPr/>
              <w:t>：</w:t>
            </w:r>
            <w:r>
              <w:rPr>
                <w:rFonts w:hint="eastAsia"/>
              </w:rPr>
              <w:t>智勝文化</w:t>
            </w:r>
            <w:r>
              <w:rPr/>
              <w:t>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 xml:space="preserve">Blackwell, R. D., Miniard, P. W., &amp; Engel, J. F. (2006). </w:t>
            </w:r>
            <w:r>
              <w:rPr>
                <w:i/>
              </w:rPr>
              <w:t xml:space="preserve">Consumer </w:t>
            </w:r>
            <w:r>
              <w:rPr>
                <w:rFonts w:hint="eastAsia"/>
                <w:i/>
              </w:rPr>
              <w:t>b</w:t>
            </w:r>
            <w:r>
              <w:rPr>
                <w:i/>
              </w:rPr>
              <w:t>ehavior</w:t>
            </w:r>
            <w:r>
              <w:rPr/>
              <w:t xml:space="preserve"> (</w:t>
            </w:r>
            <w:r>
              <w:rPr>
                <w:rFonts w:hint="eastAsia"/>
              </w:rPr>
              <w:t>10</w:t>
            </w:r>
            <w:r>
              <w:rPr/>
              <w:t>th ed.)</w:t>
            </w:r>
            <w:r>
              <w:rPr>
                <w:rFonts w:hint="eastAsia"/>
              </w:rPr>
              <w:t>. London: Thomson Learning.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eastAsia"/>
                <w:b/>
              </w:rPr>
              <w:t>、翻譯書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白滌清（譯）（</w:t>
            </w:r>
            <w:r>
              <w:rPr>
                <w:rFonts w:hint="eastAsia"/>
              </w:rPr>
              <w:t>2008</w:t>
            </w:r>
            <w:r>
              <w:rPr>
                <w:rFonts w:hint="eastAsia"/>
              </w:rPr>
              <w:t>）。</w:t>
            </w:r>
            <w:r>
              <w:rPr>
                <w:i/>
              </w:rPr>
              <w:t>消費者行為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版）。臺北市：</w:t>
            </w:r>
            <w:r>
              <w:rPr/>
              <w:t>華泰文化</w:t>
            </w:r>
            <w:r>
              <w:rPr>
                <w:rFonts w:hint="eastAsia"/>
              </w:rPr>
              <w:t>。（</w:t>
            </w:r>
            <w:r>
              <w:rPr>
                <w:rFonts w:hint="eastAsia"/>
              </w:rPr>
              <w:t>Blackwell, R. D., Miniard, P. W., &amp; Engel, J. F., 2006</w:t>
            </w:r>
            <w:r>
              <w:rPr>
                <w:rFonts w:hint="eastAsia"/>
              </w:rPr>
              <w:t>）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  <w:r>
              <w:rPr>
                <w:rFonts w:hint="eastAsia"/>
                <w:b/>
              </w:rPr>
              <w:t>、專書篇章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/>
              <w:t>林清山</w:t>
            </w:r>
            <w:r>
              <w:rPr>
                <w:rFonts w:hint="eastAsia"/>
              </w:rPr>
              <w:t>（</w:t>
            </w:r>
            <w:r>
              <w:rPr/>
              <w:t>1978</w:t>
            </w:r>
            <w:r>
              <w:rPr>
                <w:rFonts w:hint="eastAsia"/>
              </w:rPr>
              <w:t>）。</w:t>
            </w:r>
            <w:r>
              <w:rPr/>
              <w:t>實驗設計的基本原則</w:t>
            </w:r>
            <w:r>
              <w:rPr>
                <w:rFonts w:hint="eastAsia"/>
              </w:rPr>
              <w:t>。載於楊國樞、文崇一、吳聰賢、李亦園（主編），</w:t>
            </w:r>
            <w:r>
              <w:rPr>
                <w:i/>
              </w:rPr>
              <w:t>社會及行為科學研究法</w:t>
            </w:r>
            <w:r>
              <w:rPr>
                <w:rFonts w:hint="eastAsia"/>
              </w:rPr>
              <w:t>（</w:t>
            </w:r>
            <w:r>
              <w:rPr/>
              <w:t>上冊</w:t>
            </w:r>
            <w:r>
              <w:rPr>
                <w:rFonts w:hint="eastAsia"/>
              </w:rPr>
              <w:t>）（</w:t>
            </w:r>
            <w:r>
              <w:rPr>
                <w:rFonts w:hint="eastAsia"/>
              </w:rPr>
              <w:t>87-130</w:t>
            </w:r>
            <w:r>
              <w:rPr>
                <w:rFonts w:hint="eastAsia"/>
              </w:rPr>
              <w:t>）。臺</w:t>
            </w:r>
            <w:r>
              <w:rPr/>
              <w:t>北</w:t>
            </w:r>
            <w:r>
              <w:rPr>
                <w:rFonts w:hint="eastAsia"/>
              </w:rPr>
              <w:t>市</w:t>
            </w:r>
            <w:r>
              <w:rPr/>
              <w:t>：東華書局。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 xml:space="preserve">Fichman, R. G. (2000). The diffusion and assimilation of information technology innovations. In Zmud, R. W. (Ed.), </w:t>
            </w:r>
            <w:r>
              <w:rPr>
                <w:rFonts w:hint="eastAsia"/>
                <w:i/>
              </w:rPr>
              <w:t xml:space="preserve">Framing the domains of IT management: Projecting the future </w:t>
            </w:r>
            <w:r>
              <w:rPr>
                <w:i/>
              </w:rPr>
              <w:t>……</w:t>
            </w:r>
            <w:r>
              <w:rPr>
                <w:rFonts w:hint="eastAsia"/>
                <w:i/>
              </w:rPr>
              <w:t xml:space="preserve"> Through the past</w:t>
            </w:r>
            <w:r>
              <w:rPr>
                <w:rFonts w:hint="eastAsia"/>
              </w:rPr>
              <w:t xml:space="preserve"> (105-127). Cincinnati, Ohio: Pinnaflex Educational Resources, Inc.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</w:rPr>
            </w:pPr>
            <w:r>
              <w:rPr/>
              <w:t>學術研討會論文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蘇致遠、徐士傑、洪郁雯（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）。以組織訊息處理觀點探討軟體專案風險之降低與對抗。</w:t>
            </w:r>
            <w:r>
              <w:rPr>
                <w:i/>
              </w:rPr>
              <w:t>第</w:t>
            </w:r>
            <w:r>
              <w:rPr>
                <w:rFonts w:hint="eastAsia"/>
                <w:i/>
              </w:rPr>
              <w:t>23</w:t>
            </w:r>
            <w:r>
              <w:rPr>
                <w:i/>
              </w:rPr>
              <w:t>屆</w:t>
            </w:r>
            <w:r>
              <w:rPr>
                <w:rFonts w:hint="eastAsia"/>
                <w:i/>
              </w:rPr>
              <w:t>國際資訊管理學術研討會</w:t>
            </w:r>
            <w:r>
              <w:rPr>
                <w:rFonts w:hint="eastAsia"/>
              </w:rPr>
              <w:t>，台灣</w:t>
            </w:r>
            <w:r>
              <w:rPr/>
              <w:t>，</w:t>
            </w:r>
            <w:r>
              <w:rPr>
                <w:rFonts w:hint="eastAsia"/>
              </w:rPr>
              <w:t>高雄市。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Fang, Y. H., Chiu, C. M., &amp; Liang, T. P. (2010). Exploring consumers</w:t>
            </w:r>
            <w:r>
              <w:rPr/>
              <w:t>’</w:t>
            </w:r>
            <w:r>
              <w:rPr>
                <w:rFonts w:hint="eastAsia"/>
              </w:rPr>
              <w:t xml:space="preserve"> coping behaviors in online double deviation scenarios: From power perspective. </w:t>
            </w:r>
            <w:r>
              <w:rPr>
                <w:rFonts w:hint="eastAsia"/>
                <w:i/>
              </w:rPr>
              <w:t>Proceedings of the 14th Pacific Asia Conference on Information Systems (PACIS 2010)</w:t>
            </w:r>
            <w:r>
              <w:rPr>
                <w:rFonts w:hint="eastAsia"/>
              </w:rPr>
              <w:t>, Taipei, Taiwan.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博士與碩</w:t>
            </w:r>
            <w:r>
              <w:rPr/>
              <w:t>士論文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楊馥薇（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）。</w:t>
            </w:r>
            <w:r>
              <w:rPr>
                <w:rFonts w:hint="eastAsia"/>
                <w:i/>
              </w:rPr>
              <w:t>以方案導向探討資訊科技與企業策略配適度之研究</w:t>
            </w:r>
            <w:r>
              <w:rPr>
                <w:rFonts w:hint="eastAsia"/>
              </w:rPr>
              <w:t>。</w:t>
            </w:r>
            <w:r>
              <w:rPr/>
              <w:t>國立中央大學資訊管理研究所</w:t>
            </w:r>
            <w:r>
              <w:rPr>
                <w:rFonts w:hint="eastAsia"/>
              </w:rPr>
              <w:t>未出版碩士論文，台灣，桃園</w:t>
            </w:r>
            <w:r>
              <w:rPr/>
              <w:t>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 xml:space="preserve">Dixon, R. A. (2010). </w:t>
            </w:r>
            <w:r>
              <w:rPr>
                <w:rFonts w:hint="eastAsia"/>
                <w:i/>
              </w:rPr>
              <w:t>Experts and novices: Difference in their use of mental representation and metacognition in engineering design</w:t>
            </w:r>
            <w:r>
              <w:rPr>
                <w:rFonts w:hint="eastAsia"/>
              </w:rPr>
              <w:t xml:space="preserve">. Unpublished doctoral dissertation, </w:t>
            </w:r>
            <w:r>
              <w:rPr/>
              <w:t xml:space="preserve">University of </w:t>
            </w:r>
            <w:r>
              <w:rPr>
                <w:rFonts w:hint="eastAsia"/>
              </w:rPr>
              <w:t>Illinois, IL, USA.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/>
            </w:pPr>
            <w:r>
              <w:rPr/>
              <w:t>討論稿</w:t>
            </w:r>
            <w:r>
              <w:rPr>
                <w:rFonts w:hint="eastAsia"/>
              </w:rPr>
              <w:t>、技術文件和研究報告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、</w:t>
            </w:r>
            <w:r>
              <w:rPr>
                <w:b/>
              </w:rPr>
              <w:t>討論稿</w:t>
            </w:r>
          </w:p>
          <w:p>
            <w:pPr>
              <w:pStyle w:val="JEB8"/>
              <w:spacing w:before="108" w:after="108"/>
              <w:ind w:endChars="0" w:end="0"/>
              <w:rPr>
                <w:rFonts w:hint="eastAsia"/>
              </w:rPr>
            </w:pPr>
            <w:r>
              <w:rPr/>
              <w:t>陳月霞</w:t>
            </w:r>
            <w:r>
              <w:rPr>
                <w:rFonts w:hint="eastAsia"/>
              </w:rPr>
              <w:t>（</w:t>
            </w:r>
            <w:r>
              <w:rPr/>
              <w:t>1992</w:t>
            </w:r>
            <w:r>
              <w:rPr>
                <w:rFonts w:hint="eastAsia"/>
              </w:rPr>
              <w:t>）。</w:t>
            </w:r>
            <w:r>
              <w:rPr/>
              <w:t>台</w:t>
            </w:r>
            <w:r>
              <w:rPr>
                <w:i/>
              </w:rPr>
              <w:t>灣共同基金之投資期限及風險係數</w:t>
            </w:r>
            <w:r>
              <w:rPr>
                <w:rFonts w:hint="eastAsia"/>
              </w:rPr>
              <w:t>（討論稿）。臺灣，高雄市：</w:t>
            </w:r>
            <w:r>
              <w:rPr/>
              <w:t>國立中山大學管理學院。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/>
              <w:t>Greenbaum, R.</w:t>
            </w:r>
            <w:r>
              <w:rPr>
                <w:rFonts w:hint="eastAsia"/>
              </w:rPr>
              <w:t>, &amp;</w:t>
            </w:r>
            <w:r>
              <w:rPr/>
              <w:t xml:space="preserve"> Engberg, J.</w:t>
            </w:r>
            <w:r>
              <w:rPr>
                <w:rFonts w:hint="eastAsia"/>
              </w:rPr>
              <w:t xml:space="preserve"> B.</w:t>
            </w:r>
            <w:r>
              <w:rPr/>
              <w:t xml:space="preserve"> (1998)</w:t>
            </w:r>
            <w:r>
              <w:rPr>
                <w:rFonts w:hint="eastAsia"/>
              </w:rPr>
              <w:t xml:space="preserve">. </w:t>
            </w:r>
            <w:r>
              <w:rPr>
                <w:i/>
              </w:rPr>
              <w:t xml:space="preserve">The </w:t>
            </w:r>
            <w:r>
              <w:rPr>
                <w:rFonts w:hint="eastAsia"/>
                <w:i/>
              </w:rPr>
              <w:t>i</w:t>
            </w:r>
            <w:r>
              <w:rPr>
                <w:i/>
              </w:rPr>
              <w:t xml:space="preserve">mpact of </w:t>
            </w:r>
            <w:r>
              <w:rPr>
                <w:rFonts w:hint="eastAsia"/>
                <w:i/>
              </w:rPr>
              <w:t>s</w:t>
            </w:r>
            <w:r>
              <w:rPr>
                <w:i/>
              </w:rPr>
              <w:t xml:space="preserve">tate </w:t>
            </w:r>
            <w:r>
              <w:rPr>
                <w:rFonts w:hint="eastAsia"/>
                <w:i/>
              </w:rPr>
              <w:t>u</w:t>
            </w:r>
            <w:r>
              <w:rPr>
                <w:i/>
              </w:rPr>
              <w:t xml:space="preserve">rban </w:t>
            </w:r>
            <w:r>
              <w:rPr>
                <w:rFonts w:hint="eastAsia"/>
                <w:i/>
              </w:rPr>
              <w:t>e</w:t>
            </w:r>
            <w:r>
              <w:rPr>
                <w:i/>
              </w:rPr>
              <w:t xml:space="preserve">nterprise </w:t>
            </w:r>
            <w:r>
              <w:rPr>
                <w:rFonts w:hint="eastAsia"/>
                <w:i/>
              </w:rPr>
              <w:t>z</w:t>
            </w:r>
            <w:r>
              <w:rPr>
                <w:i/>
              </w:rPr>
              <w:t xml:space="preserve">ones on </w:t>
            </w:r>
            <w:r>
              <w:rPr>
                <w:rFonts w:hint="eastAsia"/>
                <w:i/>
              </w:rPr>
              <w:t>b</w:t>
            </w:r>
            <w:r>
              <w:rPr>
                <w:i/>
              </w:rPr>
              <w:t xml:space="preserve">usiness </w:t>
            </w:r>
            <w:r>
              <w:rPr>
                <w:rFonts w:hint="eastAsia"/>
                <w:i/>
              </w:rPr>
              <w:t>o</w:t>
            </w:r>
            <w:r>
              <w:rPr>
                <w:i/>
              </w:rPr>
              <w:t>utcomes</w:t>
            </w:r>
            <w:r>
              <w:rPr>
                <w:rFonts w:hint="eastAsia"/>
              </w:rPr>
              <w:t xml:space="preserve"> (</w:t>
            </w:r>
            <w:r>
              <w:rPr/>
              <w:t>Working Paper</w:t>
            </w:r>
            <w:r>
              <w:rPr>
                <w:rFonts w:hint="eastAsia"/>
              </w:rPr>
              <w:t xml:space="preserve"> No. 98-20). CA, USA:</w:t>
            </w:r>
            <w:r>
              <w:rPr/>
              <w:t xml:space="preserve"> Center for Economic Studies</w:t>
            </w:r>
            <w:r>
              <w:rPr>
                <w:rFonts w:hint="eastAsia"/>
              </w:rPr>
              <w:t>.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eastAsia"/>
                <w:b/>
              </w:rPr>
              <w:t>、技術文件和研究報告</w:t>
            </w:r>
          </w:p>
          <w:p>
            <w:pPr>
              <w:pStyle w:val="JEB8"/>
              <w:spacing w:before="108" w:after="108"/>
              <w:ind w:endChars="0" w:end="0"/>
              <w:rPr>
                <w:rFonts w:hint="eastAsia"/>
              </w:rPr>
            </w:pPr>
            <w:r>
              <w:rPr/>
              <w:t>賴建都</w:t>
            </w:r>
            <w:r>
              <w:rPr>
                <w:rFonts w:hint="eastAsia"/>
              </w:rPr>
              <w:t>（</w:t>
            </w:r>
            <w:r>
              <w:rPr/>
              <w:t>20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）。</w:t>
            </w:r>
            <w:r>
              <w:rPr>
                <w:i/>
              </w:rPr>
              <w:t>線上遊戲廣告訊息置入效果之研究—置入形式、置入地點暨玩家回憶度、偏好度為例</w:t>
            </w:r>
            <w:r>
              <w:rPr>
                <w:rFonts w:hint="eastAsia"/>
              </w:rPr>
              <w:t>（</w:t>
            </w:r>
            <w:r>
              <w:rPr/>
              <w:t>國科會</w:t>
            </w:r>
            <w:r>
              <w:rPr>
                <w:rFonts w:hint="eastAsia"/>
              </w:rPr>
              <w:t xml:space="preserve">計畫編號 </w:t>
            </w:r>
            <w:r>
              <w:rPr/>
              <w:t>98-2410-H-004-163-MY2</w:t>
            </w:r>
            <w:r>
              <w:rPr>
                <w:rFonts w:hint="eastAsia"/>
              </w:rPr>
              <w:t>）。臺灣，臺北市：</w:t>
            </w:r>
            <w:r>
              <w:rPr/>
              <w:t>行政院國家科學委員會</w:t>
            </w:r>
            <w:r>
              <w:rPr>
                <w:rFonts w:hint="eastAsia"/>
              </w:rPr>
              <w:t>。</w:t>
            </w:r>
          </w:p>
          <w:p>
            <w:pPr>
              <w:pStyle w:val="JEB8"/>
              <w:spacing w:before="108" w:after="108"/>
              <w:ind w:endChars="0" w:end="0"/>
              <w:rPr>
                <w:rFonts w:hint="eastAsia"/>
              </w:rPr>
            </w:pPr>
            <w:r>
              <w:rPr/>
              <w:t>White, C.</w:t>
            </w:r>
            <w:r>
              <w:rPr>
                <w:rFonts w:hint="eastAsia"/>
              </w:rPr>
              <w:t xml:space="preserve"> </w:t>
            </w:r>
            <w:r>
              <w:rPr/>
              <w:t>J. (1999)</w:t>
            </w:r>
            <w:r>
              <w:rPr>
                <w:rFonts w:hint="eastAsia"/>
              </w:rPr>
              <w:t xml:space="preserve">. </w:t>
            </w:r>
            <w:r>
              <w:rPr>
                <w:i/>
              </w:rPr>
              <w:t xml:space="preserve">The IBM </w:t>
            </w:r>
            <w:r>
              <w:rPr>
                <w:rFonts w:hint="eastAsia"/>
                <w:i/>
              </w:rPr>
              <w:t>b</w:t>
            </w:r>
            <w:r>
              <w:rPr>
                <w:i/>
              </w:rPr>
              <w:t xml:space="preserve">usiness </w:t>
            </w:r>
            <w:r>
              <w:rPr>
                <w:rFonts w:hint="eastAsia"/>
                <w:i/>
              </w:rPr>
              <w:t>i</w:t>
            </w:r>
            <w:r>
              <w:rPr>
                <w:i/>
              </w:rPr>
              <w:t xml:space="preserve">ntelligence </w:t>
            </w:r>
            <w:r>
              <w:rPr>
                <w:rFonts w:hint="eastAsia"/>
                <w:i/>
              </w:rPr>
              <w:t>s</w:t>
            </w:r>
            <w:r>
              <w:rPr>
                <w:i/>
              </w:rPr>
              <w:t xml:space="preserve">oftware </w:t>
            </w:r>
            <w:r>
              <w:rPr>
                <w:rFonts w:hint="eastAsia"/>
                <w:i/>
              </w:rPr>
              <w:t>s</w:t>
            </w:r>
            <w:r>
              <w:rPr>
                <w:i/>
              </w:rPr>
              <w:t>olution</w:t>
            </w:r>
            <w:r>
              <w:rPr>
                <w:rFonts w:hint="eastAsia"/>
              </w:rPr>
              <w:t xml:space="preserve"> (Version 3).</w:t>
            </w:r>
            <w:r>
              <w:rPr/>
              <w:t xml:space="preserve"> </w:t>
            </w:r>
            <w:r>
              <w:rPr>
                <w:rFonts w:hint="eastAsia"/>
              </w:rPr>
              <w:t xml:space="preserve">CA, USA: </w:t>
            </w:r>
            <w:r>
              <w:rPr/>
              <w:t>Database Associates International</w:t>
            </w:r>
            <w:r>
              <w:rPr>
                <w:rFonts w:hint="eastAsia"/>
              </w:rPr>
              <w:t>,</w:t>
            </w:r>
            <w:r>
              <w:rPr/>
              <w:t xml:space="preserve"> Inc.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3</w:t>
            </w:r>
            <w:r>
              <w:rPr>
                <w:rFonts w:hint="eastAsia"/>
                <w:b/>
              </w:rPr>
              <w:t>、標準規範</w:t>
            </w:r>
          </w:p>
          <w:p>
            <w:pPr>
              <w:pStyle w:val="JEB8"/>
              <w:spacing w:before="108" w:after="108"/>
              <w:ind w:endChars="0" w:end="0"/>
              <w:rPr>
                <w:rFonts w:hint="eastAsia"/>
              </w:rPr>
            </w:pPr>
            <w:r>
              <w:rPr/>
              <w:t>ISO/IEC(2001</w:t>
            </w:r>
            <w:r>
              <w:rPr>
                <w:rFonts w:hint="eastAsia"/>
              </w:rPr>
              <w:t xml:space="preserve">). </w:t>
            </w:r>
            <w:r>
              <w:rPr>
                <w:i/>
              </w:rPr>
              <w:t xml:space="preserve">Software </w:t>
            </w:r>
            <w:r>
              <w:rPr>
                <w:rFonts w:hint="eastAsia"/>
                <w:i/>
              </w:rPr>
              <w:t>e</w:t>
            </w:r>
            <w:r>
              <w:rPr>
                <w:i/>
              </w:rPr>
              <w:t xml:space="preserve">ngineering-Product </w:t>
            </w:r>
            <w:r>
              <w:rPr>
                <w:rFonts w:hint="eastAsia"/>
                <w:i/>
              </w:rPr>
              <w:t>q</w:t>
            </w:r>
            <w:r>
              <w:rPr>
                <w:i/>
              </w:rPr>
              <w:t>uality-Part1: Quality</w:t>
            </w:r>
            <w:r>
              <w:rPr>
                <w:rFonts w:hint="eastAsia"/>
                <w:i/>
              </w:rPr>
              <w:t xml:space="preserve"> m</w:t>
            </w:r>
            <w:r>
              <w:rPr>
                <w:i/>
              </w:rPr>
              <w:t>odel</w:t>
            </w:r>
            <w:r>
              <w:rPr>
                <w:rFonts w:hint="eastAsia"/>
              </w:rPr>
              <w:t xml:space="preserve"> (ISO/IEC </w:t>
            </w:r>
            <w:r>
              <w:rPr/>
              <w:t>9126-1</w:t>
            </w:r>
            <w:r>
              <w:rPr>
                <w:rFonts w:hint="eastAsia"/>
              </w:rPr>
              <w:t xml:space="preserve">). Geneva, Switzerland: </w:t>
            </w:r>
            <w:r>
              <w:rPr/>
              <w:t>ISO.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/>
            </w:pPr>
            <w:r>
              <w:rPr>
                <w:rFonts w:hint="eastAsia"/>
                <w:sz w:val="20"/>
                <w:szCs w:val="20"/>
                <w:shd w:fill="D8D8D8" w:val="clear"/>
              </w:rPr>
              <w:t>說明</w:t>
            </w:r>
            <w:r>
              <w:rPr>
                <w:rFonts w:hint="eastAsia"/>
                <w:sz w:val="20"/>
                <w:szCs w:val="20"/>
              </w:rPr>
              <w:t>：若文獻附有編號或版本別，請標示。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報紙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劉馥瑜（</w:t>
            </w:r>
            <w:r>
              <w:rPr>
                <w:rFonts w:hint="eastAsia"/>
              </w:rPr>
              <w:t>2012</w:t>
            </w:r>
            <w:r>
              <w:rPr/>
              <w:t>年</w:t>
            </w:r>
            <w:r>
              <w:rPr>
                <w:rFonts w:hint="eastAsia"/>
              </w:rPr>
              <w:t>8</w:t>
            </w:r>
            <w:r>
              <w:rPr/>
              <w:t>月</w:t>
            </w:r>
            <w:r>
              <w:rPr>
                <w:rFonts w:hint="eastAsia"/>
              </w:rPr>
              <w:t>31</w:t>
            </w:r>
            <w:r>
              <w:rPr/>
              <w:t>日</w:t>
            </w:r>
            <w:r>
              <w:rPr>
                <w:rFonts w:hint="eastAsia"/>
              </w:rPr>
              <w:t>）。台灣安麗搶進電子商務市場。</w:t>
            </w:r>
            <w:r>
              <w:rPr>
                <w:rFonts w:hint="eastAsia"/>
                <w:i/>
              </w:rPr>
              <w:t>工商時報</w:t>
            </w:r>
            <w:r>
              <w:rPr/>
              <w:t>，</w:t>
            </w:r>
            <w:r>
              <w:rPr>
                <w:rFonts w:hint="eastAsia"/>
              </w:rPr>
              <w:t>A19</w:t>
            </w:r>
            <w:r>
              <w:rPr/>
              <w:t>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 xml:space="preserve">Hardy, Q. (August 28, 2012). Active in cloud, Amazon reshapes computing. </w:t>
            </w:r>
            <w:r>
              <w:rPr>
                <w:i/>
              </w:rPr>
              <w:t>The New York Times</w:t>
            </w:r>
            <w:r>
              <w:rPr>
                <w:rFonts w:hint="eastAsia"/>
              </w:rPr>
              <w:t>, A1.</w:t>
            </w:r>
          </w:p>
        </w:tc>
      </w:tr>
      <w:tr>
        <w:trPr/>
        <w:tc>
          <w:tcPr>
            <w:tcW w:w="1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網路文獻</w:t>
            </w:r>
          </w:p>
        </w:tc>
        <w:tc>
          <w:tcPr>
            <w:tcW w:w="6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、僅有網路版之期刊論文</w:t>
            </w:r>
          </w:p>
          <w:p>
            <w:pPr>
              <w:pStyle w:val="JEB8"/>
              <w:spacing w:before="108" w:after="108"/>
              <w:ind w:endChars="0" w:end="0"/>
              <w:rPr>
                <w:rFonts w:hint="eastAsia"/>
              </w:rPr>
            </w:pPr>
            <w:r>
              <w:rPr/>
              <w:t>Fredrickson, B.</w:t>
            </w:r>
            <w:r>
              <w:rPr>
                <w:rFonts w:hint="eastAsia"/>
              </w:rPr>
              <w:t xml:space="preserve"> </w:t>
            </w:r>
            <w:r>
              <w:rPr/>
              <w:t>L. (2000)</w:t>
            </w:r>
            <w:r>
              <w:rPr>
                <w:rFonts w:hint="eastAsia"/>
              </w:rPr>
              <w:t xml:space="preserve">. </w:t>
            </w:r>
            <w:r>
              <w:rPr/>
              <w:t>Cultivating positive emotions to optimize health and well-being</w:t>
            </w:r>
            <w:r>
              <w:rPr>
                <w:rFonts w:hint="eastAsia"/>
              </w:rPr>
              <w:t>.</w:t>
            </w:r>
            <w:r>
              <w:rPr/>
              <w:t xml:space="preserve"> </w:t>
            </w:r>
            <w:r>
              <w:rPr>
                <w:i/>
              </w:rPr>
              <w:t>Prevention &amp; Treatment</w:t>
            </w:r>
            <w:r>
              <w:rPr/>
              <w:t xml:space="preserve">, </w:t>
            </w:r>
            <w:r>
              <w:rPr>
                <w:i/>
              </w:rPr>
              <w:t>3</w:t>
            </w:r>
            <w:r>
              <w:rPr>
                <w:rFonts w:hint="eastAsia"/>
              </w:rPr>
              <w:t>(1)</w:t>
            </w:r>
            <w:r>
              <w:rPr/>
              <w:t xml:space="preserve">. Retrieved </w:t>
            </w:r>
            <w:r>
              <w:rPr>
                <w:rFonts w:hint="eastAsia"/>
              </w:rPr>
              <w:t xml:space="preserve">October 1, </w:t>
            </w:r>
            <w:r>
              <w:rPr/>
              <w:t>20</w:t>
            </w:r>
            <w:r>
              <w:rPr>
                <w:rFonts w:hint="eastAsia"/>
              </w:rPr>
              <w:t>12</w:t>
            </w:r>
            <w:r>
              <w:rPr/>
              <w:t>, from http://journals.apa.org/prevention/volume3/pre0030001a.html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eastAsia"/>
                <w:b/>
              </w:rPr>
              <w:t>、網路文章、技術文件和研究報告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劉翰謙（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）。</w:t>
            </w:r>
            <w:r>
              <w:rPr>
                <w:rFonts w:hint="eastAsia"/>
                <w:i/>
              </w:rPr>
              <w:t>【與矽谷連線】－連續創業家創投分享創業禁忌</w:t>
            </w:r>
            <w:r>
              <w:rPr>
                <w:rFonts w:hint="eastAsia"/>
              </w:rPr>
              <w:t>。取自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日，</w:t>
            </w:r>
            <w:r>
              <w:rPr/>
              <w:t>http://www.bnext.com.tw/focus/view/cid/103/id/24603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/>
              <w:t>Khan</w:t>
            </w:r>
            <w:r>
              <w:rPr>
                <w:rFonts w:hint="eastAsia"/>
              </w:rPr>
              <w:t xml:space="preserve">, R., &amp; </w:t>
            </w:r>
            <w:r>
              <w:rPr/>
              <w:t>Little</w:t>
            </w:r>
            <w:r>
              <w:rPr>
                <w:rFonts w:hint="eastAsia"/>
              </w:rPr>
              <w:t xml:space="preserve">, T. A. (2003). </w:t>
            </w:r>
            <w:r>
              <w:rPr>
                <w:i/>
              </w:rPr>
              <w:t xml:space="preserve">Understanding </w:t>
            </w:r>
            <w:r>
              <w:rPr>
                <w:rFonts w:hint="eastAsia"/>
                <w:i/>
              </w:rPr>
              <w:t>b</w:t>
            </w:r>
            <w:r>
              <w:rPr>
                <w:i/>
              </w:rPr>
              <w:t>usiness</w:t>
            </w:r>
            <w:r>
              <w:rPr>
                <w:rFonts w:hint="eastAsia"/>
                <w:i/>
              </w:rPr>
              <w:t xml:space="preserve"> p</w:t>
            </w:r>
            <w:r>
              <w:rPr>
                <w:i/>
              </w:rPr>
              <w:t>rocess modeling &amp; analysis</w:t>
            </w:r>
            <w:r>
              <w:rPr>
                <w:rFonts w:hint="eastAsia"/>
                <w:i/>
              </w:rPr>
              <w:t xml:space="preserve">: </w:t>
            </w:r>
            <w:r>
              <w:rPr>
                <w:i/>
              </w:rPr>
              <w:t>The first step to achieving breakthroughs in productivity improvements</w:t>
            </w:r>
            <w:r>
              <w:rPr>
                <w:rFonts w:hint="eastAsia"/>
              </w:rPr>
              <w:t xml:space="preserve">. </w:t>
            </w:r>
            <w:r>
              <w:rPr/>
              <w:t xml:space="preserve">Retrieved </w:t>
            </w:r>
            <w:r>
              <w:rPr>
                <w:rFonts w:hint="eastAsia"/>
              </w:rPr>
              <w:t>October 1</w:t>
            </w:r>
            <w:r>
              <w:rPr/>
              <w:t>, 20</w:t>
            </w:r>
            <w:r>
              <w:rPr>
                <w:rFonts w:hint="eastAsia"/>
              </w:rPr>
              <w:t>12</w:t>
            </w:r>
            <w:r>
              <w:rPr/>
              <w:t>,</w:t>
            </w:r>
            <w:r>
              <w:rPr>
                <w:rFonts w:hint="eastAsia"/>
              </w:rPr>
              <w:t xml:space="preserve"> </w:t>
            </w:r>
            <w:r>
              <w:rPr/>
              <w:t>from</w:t>
            </w:r>
            <w:r>
              <w:rPr>
                <w:rFonts w:hint="eastAsia"/>
              </w:rPr>
              <w:t xml:space="preserve"> http://</w:t>
            </w:r>
            <w:r>
              <w:rPr/>
              <w:t>internal.ultimus.com/NR/rdonlyres/7CA5047F-715A-40F7-B3F6-976ACD9A7C15/0/BPMAWhitePaper.pdf</w:t>
            </w:r>
            <w:r>
              <w:rPr>
                <w:rFonts w:hint="eastAsia"/>
              </w:rPr>
              <w:t>　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  <w:r>
              <w:rPr>
                <w:rFonts w:hint="eastAsia"/>
                <w:b/>
              </w:rPr>
              <w:t>、網路新聞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楊又肇（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22</w:t>
            </w:r>
            <w:r>
              <w:rPr>
                <w:rFonts w:hint="eastAsia"/>
              </w:rPr>
              <w:t>日）。</w:t>
            </w:r>
            <w:r>
              <w:rPr>
                <w:rFonts w:hint="eastAsia"/>
              </w:rPr>
              <w:t>IEEE</w:t>
            </w:r>
            <w:r>
              <w:rPr>
                <w:rFonts w:hint="eastAsia"/>
              </w:rPr>
              <w:t>：乙太網路傳輸將提升至每秒</w:t>
            </w:r>
            <w:r>
              <w:rPr>
                <w:rFonts w:hint="eastAsia"/>
              </w:rPr>
              <w:t>1 terabits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i/>
              </w:rPr>
              <w:t>聯合新聞網</w:t>
            </w:r>
            <w:r>
              <w:rPr>
                <w:rFonts w:hint="eastAsia"/>
              </w:rPr>
              <w:t>。取自</w:t>
            </w:r>
            <w:r>
              <w:rPr>
                <w:rFonts w:hint="eastAsia"/>
              </w:rPr>
              <w:t>2012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日，</w:t>
            </w:r>
            <w:r>
              <w:rPr/>
              <w:t>http://mag.udn.com/mag/digital/storypage.jsp?f_ART_ID=408315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 xml:space="preserve">Hardy, Q. (August 27, 2012). Active in cloud, Amazon reshapes computing. </w:t>
            </w:r>
            <w:r>
              <w:rPr>
                <w:i/>
              </w:rPr>
              <w:t>The New York Times</w:t>
            </w:r>
            <w:r>
              <w:rPr/>
              <w:t>. Retrieved</w:t>
            </w:r>
            <w:r>
              <w:rPr>
                <w:rFonts w:hint="eastAsia"/>
              </w:rPr>
              <w:t xml:space="preserve"> October 1, 2012, from </w:t>
            </w:r>
            <w:r>
              <w:rPr/>
              <w:t>http://www.nytimes.com/2012/08/28/technology/active-in-cloud-amazon-reshapes-computing.html?_r=1&amp;ref=technology</w:t>
            </w:r>
          </w:p>
          <w:p>
            <w:pPr>
              <w:pStyle w:val="JEB"/>
              <w:spacing w:lineRule="auto" w:line="240" w:before="108" w:after="108"/>
              <w:ind w:firstLineChars="0" w:firstLine="0" w:endChars="0" w:end="0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  <w:r>
              <w:rPr>
                <w:rFonts w:hint="eastAsia"/>
                <w:b/>
              </w:rPr>
              <w:t>、電子書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>
                <w:rFonts w:hint="eastAsia"/>
              </w:rPr>
              <w:t>林子銘、陳鴻基（</w:t>
            </w:r>
            <w:r>
              <w:rPr>
                <w:rFonts w:hint="eastAsia"/>
              </w:rPr>
              <w:t>2002</w:t>
            </w:r>
            <w:r>
              <w:rPr>
                <w:rFonts w:hint="eastAsia"/>
              </w:rPr>
              <w:t>）。</w:t>
            </w:r>
            <w:r>
              <w:rPr>
                <w:rFonts w:hint="eastAsia"/>
                <w:i/>
              </w:rPr>
              <w:t>21</w:t>
            </w:r>
            <w:r>
              <w:rPr>
                <w:rFonts w:hint="eastAsia"/>
                <w:i/>
              </w:rPr>
              <w:t>世紀湧現中的電子商務</w:t>
            </w:r>
            <w:r>
              <w:rPr>
                <w:rFonts w:hint="eastAsia"/>
              </w:rPr>
              <w:t>（電子書）。臺北市：華泰文化。</w:t>
            </w:r>
          </w:p>
          <w:p>
            <w:pPr>
              <w:pStyle w:val="JEB8"/>
              <w:spacing w:before="108" w:after="108"/>
              <w:ind w:endChars="0" w:end="0"/>
              <w:rPr/>
            </w:pPr>
            <w:r>
              <w:rPr/>
              <w:t>Stol</w:t>
            </w:r>
            <w:r>
              <w:rPr>
                <w:rFonts w:hint="eastAsia"/>
              </w:rPr>
              <w:t xml:space="preserve">, H. (2009). </w:t>
            </w:r>
            <w:r>
              <w:rPr>
                <w:i/>
              </w:rPr>
              <w:t xml:space="preserve">A </w:t>
            </w:r>
            <w:r>
              <w:rPr>
                <w:rFonts w:hint="eastAsia"/>
                <w:i/>
              </w:rPr>
              <w:t>f</w:t>
            </w:r>
            <w:r>
              <w:rPr>
                <w:i/>
              </w:rPr>
              <w:t xml:space="preserve">ramework for </w:t>
            </w:r>
            <w:r>
              <w:rPr>
                <w:rFonts w:hint="eastAsia"/>
                <w:i/>
              </w:rPr>
              <w:t>e</w:t>
            </w:r>
            <w:r>
              <w:rPr>
                <w:i/>
              </w:rPr>
              <w:t>vidence-</w:t>
            </w:r>
            <w:r>
              <w:rPr>
                <w:rFonts w:hint="eastAsia"/>
                <w:i/>
              </w:rPr>
              <w:t>b</w:t>
            </w:r>
            <w:r>
              <w:rPr>
                <w:i/>
              </w:rPr>
              <w:t xml:space="preserve">ased </w:t>
            </w:r>
            <w:r>
              <w:rPr>
                <w:rFonts w:hint="eastAsia"/>
                <w:i/>
              </w:rPr>
              <w:t>p</w:t>
            </w:r>
            <w:r>
              <w:rPr>
                <w:i/>
              </w:rPr>
              <w:t xml:space="preserve">olicy </w:t>
            </w:r>
            <w:r>
              <w:rPr>
                <w:rFonts w:hint="eastAsia"/>
                <w:i/>
              </w:rPr>
              <w:t>m</w:t>
            </w:r>
            <w:r>
              <w:rPr>
                <w:i/>
              </w:rPr>
              <w:t xml:space="preserve">aking </w:t>
            </w:r>
            <w:r>
              <w:rPr>
                <w:rFonts w:hint="eastAsia"/>
                <w:i/>
              </w:rPr>
              <w:t>u</w:t>
            </w:r>
            <w:r>
              <w:rPr>
                <w:i/>
              </w:rPr>
              <w:t xml:space="preserve">sing IT: </w:t>
            </w:r>
            <w:r>
              <w:rPr>
                <w:rFonts w:hint="eastAsia"/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rFonts w:hint="eastAsia"/>
                <w:i/>
              </w:rPr>
              <w:t>s</w:t>
            </w:r>
            <w:r>
              <w:rPr>
                <w:i/>
              </w:rPr>
              <w:t xml:space="preserve">ystems </w:t>
            </w:r>
            <w:r>
              <w:rPr>
                <w:rFonts w:hint="eastAsia"/>
                <w:i/>
              </w:rPr>
              <w:t>a</w:t>
            </w:r>
            <w:r>
              <w:rPr>
                <w:i/>
              </w:rPr>
              <w:t>pproach</w:t>
            </w:r>
            <w:r>
              <w:rPr>
                <w:rFonts w:hint="eastAsia"/>
                <w:i/>
              </w:rPr>
              <w:t xml:space="preserve"> </w:t>
            </w:r>
            <w:r>
              <w:rPr>
                <w:rFonts w:hint="eastAsia"/>
              </w:rPr>
              <w:t>(e-book). The Netherlands: Uitgeverij Eburon.</w:t>
            </w:r>
          </w:p>
        </w:tc>
      </w:tr>
    </w:tbl>
    <w:p>
      <w:pPr>
        <w:pStyle w:val="JEB111"/>
        <w:rPr>
          <w:rFonts w:hint="eastAsia"/>
        </w:rPr>
      </w:pPr>
      <w:r>
        <w:rPr>
          <w:rFonts w:hint="eastAsia"/>
        </w:rPr>
        <w:t xml:space="preserve">1.2.6 </w:t>
      </w:r>
      <w:r>
        <w:rPr>
          <w:rFonts w:hint="eastAsia"/>
        </w:rPr>
        <w:t>附錄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附錄請置於參考文獻之後，並依照阿拉伯數字編號，如：附錄</w:t>
      </w:r>
      <w:r>
        <w:rPr>
          <w:rFonts w:hint="eastAsia"/>
        </w:rPr>
        <w:t>1</w:t>
      </w:r>
      <w:r>
        <w:rPr>
          <w:rFonts w:hint="eastAsia"/>
        </w:rPr>
        <w:t>、附錄</w:t>
      </w:r>
      <w:r>
        <w:rPr>
          <w:rFonts w:hint="eastAsia"/>
        </w:rPr>
        <w:t>2</w:t>
      </w:r>
      <w:r>
        <w:rPr>
          <w:rFonts w:hint="eastAsia"/>
        </w:rPr>
        <w:t>。</w:t>
      </w:r>
    </w:p>
    <w:p>
      <w:pPr>
        <w:pStyle w:val="JEB1"/>
        <w:rPr>
          <w:rFonts w:hint="eastAsia"/>
        </w:rPr>
      </w:pPr>
      <w:r>
        <w:rPr>
          <w:rFonts w:hint="eastAsia"/>
        </w:rPr>
        <w:t>參考文獻　</w:t>
      </w:r>
    </w:p>
    <w:p>
      <w:pPr>
        <w:pStyle w:val="JEB8"/>
        <w:spacing w:before="180" w:after="0"/>
        <w:ind w:endChars="0" w:end="0" w:left="540"/>
        <w:rPr/>
      </w:pPr>
      <w:r>
        <w:rPr/>
        <w:t>楊又肇（</w:t>
      </w:r>
      <w:r>
        <w:rPr/>
        <w:t>2012</w:t>
      </w:r>
      <w:r>
        <w:rPr/>
        <w:t>年</w:t>
      </w:r>
      <w:r>
        <w:rPr/>
        <w:t>8</w:t>
      </w:r>
      <w:r>
        <w:rPr/>
        <w:t>月</w:t>
      </w:r>
      <w:r>
        <w:rPr/>
        <w:t>22</w:t>
      </w:r>
      <w:r>
        <w:rPr/>
        <w:t>日）。</w:t>
      </w:r>
      <w:r>
        <w:rPr/>
        <w:t>IEEE</w:t>
      </w:r>
      <w:r>
        <w:rPr/>
        <w:t>：乙太網路傳輸將提升至每秒</w:t>
      </w:r>
      <w:r>
        <w:rPr/>
        <w:t>1 terabits</w:t>
      </w:r>
      <w:r>
        <w:rPr/>
        <w:t>。</w:t>
      </w:r>
      <w:r>
        <w:rPr>
          <w:i/>
        </w:rPr>
        <w:t>聯合新聞網</w:t>
      </w:r>
      <w:r>
        <w:rPr/>
        <w:t>。取自</w:t>
      </w:r>
      <w:r>
        <w:rPr/>
        <w:t>2012</w:t>
      </w:r>
      <w:r>
        <w:rPr/>
        <w:t>年</w:t>
      </w:r>
      <w:r>
        <w:rPr/>
        <w:t>10</w:t>
      </w:r>
      <w:r>
        <w:rPr/>
        <w:t>月</w:t>
      </w:r>
      <w:r>
        <w:rPr/>
        <w:t>1</w:t>
      </w:r>
      <w:r>
        <w:rPr/>
        <w:t>日，</w:t>
      </w:r>
      <w:r>
        <w:rPr/>
        <w:t>http://mag.udn.com/mag/digital/storypage.jsp?f_ART_ID=408315</w:t>
      </w:r>
    </w:p>
    <w:p>
      <w:pPr>
        <w:pStyle w:val="JEB8"/>
        <w:spacing w:before="180" w:after="0"/>
        <w:ind w:endChars="0" w:end="0" w:left="540"/>
        <w:rPr/>
      </w:pPr>
      <w:r>
        <w:rPr/>
        <w:t>葉禾田、陳玉音（</w:t>
      </w:r>
      <w:r>
        <w:rPr/>
        <w:t>2012</w:t>
      </w:r>
      <w:r>
        <w:rPr/>
        <w:t>）。適用於行動設備的數位權利管理系統。</w:t>
      </w:r>
      <w:r>
        <w:rPr>
          <w:i/>
        </w:rPr>
        <w:t>電子商務學報</w:t>
      </w:r>
      <w:r>
        <w:rPr/>
        <w:t>，</w:t>
      </w:r>
      <w:r>
        <w:rPr>
          <w:i/>
        </w:rPr>
        <w:t>14</w:t>
      </w:r>
      <w:r>
        <w:rPr/>
        <w:t>（</w:t>
      </w:r>
      <w:r>
        <w:rPr/>
        <w:t>1</w:t>
      </w:r>
      <w:r>
        <w:rPr/>
        <w:t>），</w:t>
      </w:r>
      <w:r>
        <w:rPr/>
        <w:t>53-72</w:t>
      </w:r>
      <w:r>
        <w:rPr/>
        <w:t>。</w:t>
      </w:r>
    </w:p>
    <w:p>
      <w:pPr>
        <w:pStyle w:val="JEB8"/>
        <w:spacing w:before="180" w:after="0"/>
        <w:ind w:endChars="0" w:end="0" w:left="540"/>
        <w:rPr/>
      </w:pPr>
      <w:r>
        <w:rPr/>
        <w:t>賴建都（</w:t>
      </w:r>
      <w:r>
        <w:rPr/>
        <w:t>2011</w:t>
      </w:r>
      <w:r>
        <w:rPr/>
        <w:t>）。</w:t>
      </w:r>
      <w:r>
        <w:rPr>
          <w:i/>
        </w:rPr>
        <w:t>線上遊戲廣告訊息置入效果之研究—置入形式、置入地點暨玩家回憶度、偏好度為例</w:t>
      </w:r>
      <w:r>
        <w:rPr/>
        <w:t>（國科會計畫編號</w:t>
      </w:r>
      <w:r>
        <w:rPr>
          <w:rFonts w:hint="eastAsia"/>
        </w:rPr>
        <w:t xml:space="preserve"> </w:t>
      </w:r>
      <w:r>
        <w:rPr/>
        <w:t>98-2410-H-004-163-MY2</w:t>
      </w:r>
      <w:r>
        <w:rPr/>
        <w:t>）。臺灣，臺北市：行政院國家科學委員會。</w:t>
      </w:r>
    </w:p>
    <w:p>
      <w:pPr>
        <w:pStyle w:val="JEB8"/>
        <w:spacing w:before="180" w:after="0"/>
        <w:ind w:endChars="0" w:end="0" w:left="540"/>
        <w:rPr/>
      </w:pPr>
      <w:r>
        <w:rPr/>
        <w:t>謝清佳、吳琮璠（</w:t>
      </w:r>
      <w:r>
        <w:rPr/>
        <w:t>2009</w:t>
      </w:r>
      <w:r>
        <w:rPr/>
        <w:t>）。</w:t>
      </w:r>
      <w:r>
        <w:rPr>
          <w:i/>
        </w:rPr>
        <w:t>資訊管理：理論與實務</w:t>
      </w:r>
      <w:r>
        <w:rPr/>
        <w:t>。臺北市：智勝文化。</w:t>
      </w:r>
    </w:p>
    <w:p>
      <w:pPr>
        <w:pStyle w:val="JEB8"/>
        <w:spacing w:before="180" w:after="0"/>
        <w:ind w:endChars="0" w:end="0" w:left="540"/>
        <w:rPr>
          <w:rFonts w:hint="eastAsia"/>
        </w:rPr>
      </w:pPr>
      <w:r>
        <w:rPr/>
        <w:t>蘇致遠、徐士傑、洪郁雯（</w:t>
      </w:r>
      <w:r>
        <w:rPr/>
        <w:t>2012</w:t>
      </w:r>
      <w:r>
        <w:rPr/>
        <w:t>）。以組織訊息處理觀點探討軟體專案風險之降低與對抗。</w:t>
      </w:r>
      <w:r>
        <w:rPr>
          <w:i/>
        </w:rPr>
        <w:t>第</w:t>
      </w:r>
      <w:r>
        <w:rPr>
          <w:i/>
        </w:rPr>
        <w:t>23</w:t>
      </w:r>
      <w:r>
        <w:rPr>
          <w:i/>
        </w:rPr>
        <w:t>屆國際資訊管理學術研討會</w:t>
      </w:r>
      <w:r>
        <w:rPr/>
        <w:t>，台灣，高雄市。</w:t>
      </w:r>
    </w:p>
    <w:p>
      <w:pPr>
        <w:pStyle w:val="JEB8"/>
        <w:spacing w:before="180" w:after="0"/>
        <w:ind w:endChars="0" w:end="0" w:left="540"/>
        <w:rPr/>
      </w:pPr>
      <w:r>
        <w:rPr/>
        <w:t xml:space="preserve">Blackwell, R. D., Miniard, P. W., &amp; Engel, J. F. (2006). </w:t>
      </w:r>
      <w:r>
        <w:rPr>
          <w:i/>
        </w:rPr>
        <w:t xml:space="preserve">Consumer behavior </w:t>
      </w:r>
      <w:r>
        <w:rPr/>
        <w:t>(10th ed.). London: Thomson Learning.</w:t>
      </w:r>
    </w:p>
    <w:p>
      <w:pPr>
        <w:pStyle w:val="JEB8"/>
        <w:spacing w:before="180" w:after="0"/>
        <w:ind w:endChars="0" w:end="0" w:left="540"/>
        <w:rPr/>
      </w:pPr>
      <w:r>
        <w:rPr/>
        <w:t xml:space="preserve">Dixon, R. A. (2010). </w:t>
      </w:r>
      <w:r>
        <w:rPr>
          <w:i/>
        </w:rPr>
        <w:t>Experts and novices: Difference in their use of mental representation and metacognition in engineering design</w:t>
      </w:r>
      <w:r>
        <w:rPr/>
        <w:t>. Unpublished doctoral dissertation, University of Illinois, IL, USA.</w:t>
      </w:r>
    </w:p>
    <w:p>
      <w:pPr>
        <w:pStyle w:val="JEB8"/>
        <w:spacing w:before="180" w:after="0"/>
        <w:ind w:endChars="0" w:end="0" w:left="540"/>
        <w:rPr/>
      </w:pPr>
      <w:r>
        <w:rPr/>
        <w:t xml:space="preserve">Fang, Y. H., Chiu, C. M., &amp; Liang, T. P. (2010). Exploring consumers’ coping behaviors in online double deviation scenarios: From power perspective. </w:t>
      </w:r>
      <w:r>
        <w:rPr>
          <w:i/>
        </w:rPr>
        <w:t>Proceedings of the 14th Pacific Asia Conference on Information Systems (PACIS 2010)</w:t>
      </w:r>
      <w:r>
        <w:rPr/>
        <w:t>, Taipei, Taiwan.</w:t>
      </w:r>
    </w:p>
    <w:p>
      <w:pPr>
        <w:pStyle w:val="JEB8"/>
        <w:spacing w:before="180" w:after="0"/>
        <w:ind w:endChars="0" w:end="0" w:left="540"/>
        <w:rPr/>
      </w:pPr>
      <w:r>
        <w:rPr/>
        <w:t xml:space="preserve">Greenbaum, R., &amp; Engberg, J. B. (1998). </w:t>
      </w:r>
      <w:r>
        <w:rPr>
          <w:i/>
        </w:rPr>
        <w:t>The impact of state urban enterprise zones on business outcomes</w:t>
      </w:r>
      <w:r>
        <w:rPr/>
        <w:t xml:space="preserve"> (Working Paper</w:t>
      </w:r>
      <w:r>
        <w:rPr>
          <w:rFonts w:hint="eastAsia"/>
        </w:rPr>
        <w:t xml:space="preserve"> </w:t>
      </w:r>
      <w:r>
        <w:rPr/>
        <w:t>No. 98-20). CA, USA: Center for Economic Studies.</w:t>
      </w:r>
    </w:p>
    <w:p>
      <w:pPr>
        <w:pStyle w:val="JEB8"/>
        <w:spacing w:before="180" w:after="0"/>
        <w:ind w:endChars="0" w:end="0" w:left="540"/>
        <w:rPr>
          <w:rFonts w:hint="eastAsia"/>
        </w:rPr>
      </w:pPr>
      <w:r>
        <w:rPr/>
        <w:t xml:space="preserve">Liang, H. M., Chuang, C. F., &amp; Chen, C. M. (2012). Exploring the effects of sharing information on expected cost under the VMI model. </w:t>
      </w:r>
      <w:r>
        <w:rPr>
          <w:i/>
        </w:rPr>
        <w:t>Journal of e-Business</w:t>
      </w:r>
      <w:r>
        <w:rPr/>
        <w:t xml:space="preserve">, </w:t>
      </w:r>
      <w:r>
        <w:rPr>
          <w:i/>
        </w:rPr>
        <w:t>14</w:t>
      </w:r>
      <w:r>
        <w:rPr/>
        <w:t>(2), 329-352.</w:t>
      </w:r>
    </w:p>
    <w:p>
      <w:pPr>
        <w:pStyle w:val="JEB1"/>
        <w:rPr>
          <w:rFonts w:hint="eastAsia"/>
        </w:rPr>
      </w:pPr>
      <w:r>
        <w:rPr>
          <w:rFonts w:hint="eastAsia"/>
        </w:rPr>
        <w:t>附錄</w:t>
      </w:r>
    </w:p>
    <w:p>
      <w:pPr>
        <w:pStyle w:val="JEB"/>
        <w:spacing w:before="180" w:after="180"/>
        <w:ind w:endChars="0" w:end="0"/>
        <w:rPr>
          <w:rFonts w:hint="eastAsia"/>
        </w:rPr>
      </w:pPr>
      <w:r>
        <w:rPr>
          <w:rFonts w:hint="eastAsia"/>
        </w:rPr>
        <w:t>此為附錄放置處。</w:t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800" w:right="1800" w:gutter="0" w:header="851" w:top="1440" w:footer="992" w:bottom="144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hint="eastAsia"/>
        </w:rPr>
        <w:t>附註請於文章標題處使用「註腳」功能，並將內容置於當頁下端。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  <w:t>電子商務學報稿件格式說明檔</w:t>
    </w:r>
    <w:r>
      <w:rPr>
        <w:rFonts w:hint="eastAsia"/>
      </w:rPr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960"/>
        </w:tabs>
        <w:ind w:start="960" w:hanging="480"/>
      </w:pPr>
      <w:rPr>
        <w:rFonts w:ascii="Wingdings" w:hAnsi="Wingdings" w:cs="Wingdings" w:hint="default"/>
        <w:b w:val="false"/>
        <w:i w:val="false"/>
        <w:sz w:val="24"/>
        <w:szCs w:val="24"/>
      </w:rPr>
    </w:lvl>
  </w:abstractNum>
  <w:abstractNum w:abstractNumId="3">
    <w:lvl w:ilvl="0">
      <w:start w:val="1"/>
      <w:numFmt w:val="decimal"/>
      <w:lvlText w:val="(%1)"/>
      <w:lvlJc w:val="start"/>
      <w:pPr>
        <w:tabs>
          <w:tab w:val="num" w:pos="960"/>
        </w:tabs>
        <w:ind w:start="960" w:hanging="480"/>
      </w:pPr>
      <w:rPr>
        <w:rFonts w:ascii="Times New Roman" w:hAnsi="Times New Roman" w:eastAsia="新細明體;PMingLiU" w:cs="Times New Roman"/>
        <w:b w:val="false"/>
        <w:i w:val="false"/>
        <w:sz w:val="24"/>
        <w:szCs w:val="24"/>
      </w:rPr>
    </w:lvl>
  </w:abstractNum>
  <w:abstractNum w:abstractNumId="4">
    <w:lvl w:ilvl="0">
      <w:start w:val="1"/>
      <w:numFmt w:val="decimal"/>
      <w:lvlText w:val="(%1)"/>
      <w:lvlJc w:val="start"/>
      <w:pPr>
        <w:tabs>
          <w:tab w:val="num" w:pos="0"/>
        </w:tabs>
        <w:ind w:start="360" w:hanging="360"/>
      </w:pPr>
      <w:rPr/>
    </w:lvl>
  </w:abstractNum>
  <w:abstractNum w:abstractNumId="5">
    <w:lvl w:ilvl="0">
      <w:start w:val="1"/>
      <w:numFmt w:val="bullet"/>
      <w:lvlText w:val=""/>
      <w:lvlJc w:val="start"/>
      <w:pPr>
        <w:tabs>
          <w:tab w:val="num" w:pos="1440"/>
        </w:tabs>
        <w:ind w:start="1440" w:hanging="480"/>
      </w:pPr>
      <w:rPr>
        <w:rFonts w:ascii="Wingdings" w:hAnsi="Wingdings" w:cs="Wingdings" w:hint="default"/>
        <w:b w:val="false"/>
        <w:i w:val="false"/>
        <w:sz w:val="24"/>
        <w:szCs w:val="24"/>
      </w:rPr>
    </w:lvl>
  </w:abstractNum>
  <w:abstractNum w:abstractNumId="6">
    <w:lvl w:ilvl="0">
      <w:start w:val="1"/>
      <w:numFmt w:val="lowerLetter"/>
      <w:lvlText w:val="(%1)"/>
      <w:lvlJc w:val="start"/>
      <w:pPr>
        <w:tabs>
          <w:tab w:val="num" w:pos="482"/>
        </w:tabs>
        <w:ind w:start="907" w:hanging="427"/>
      </w:pPr>
      <w:rPr>
        <w:rFonts w:ascii="Times New Roman" w:hAnsi="Times New Roman" w:eastAsia="新細明體;PMingLiU" w:cs="Times New Roman"/>
        <w:b w:val="false"/>
        <w:i w:val="false"/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footnotePr>
    <w:numFmt w:val="decimal"/>
    <w:footnote w:id="0"/>
    <w:footnote w:id="1"/>
  </w:footnotePr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新細明體;PMingLiU" w:cs="Times New Roman"/>
      <w:color w:val="auto"/>
      <w:kern w:val="2"/>
      <w:sz w:val="24"/>
      <w:szCs w:val="24"/>
      <w:lang w:eastAsia="zh-TW" w:bidi="ar-SA" w:val="en-US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720" w:before="180" w:after="180"/>
      <w:outlineLvl w:val="0"/>
    </w:pPr>
    <w:rPr>
      <w:rFonts w:ascii="Cambria" w:hAnsi="Cambria" w:cs="Cambria"/>
      <w:b/>
      <w:bCs/>
      <w:kern w:val="2"/>
      <w:sz w:val="52"/>
      <w:szCs w:val="52"/>
      <w:lang w:val="en-US"/>
    </w:rPr>
  </w:style>
  <w:style w:type="character" w:styleId="WW8Num1z0">
    <w:name w:val="WW8Num1z0"/>
    <w:qFormat/>
    <w:rPr>
      <w:rFonts w:ascii="Wingdings" w:hAnsi="Wingdings" w:cs="Wingdings"/>
      <w:b w:val="false"/>
      <w:i w:val="false"/>
      <w:sz w:val="24"/>
      <w:szCs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Times New Roman" w:hAnsi="Times New Roman" w:eastAsia="新細明體;PMingLiU" w:cs="Times New Roman"/>
      <w:b w:val="false"/>
      <w:i w:val="false"/>
      <w:sz w:val="24"/>
      <w:szCs w:val="24"/>
    </w:rPr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u w:val="none"/>
      <w:vertAlign w:val="baseline"/>
      <w:em w:val="none"/>
    </w:rPr>
  </w:style>
  <w:style w:type="character" w:styleId="WW8Num6z0">
    <w:name w:val="WW8Num6z0"/>
    <w:qFormat/>
    <w:rPr>
      <w:rFonts w:ascii="Wingdings" w:hAnsi="Wingdings" w:cs="Wingdings"/>
      <w:b w:val="false"/>
      <w:i w:val="false"/>
      <w:sz w:val="24"/>
      <w:szCs w:val="24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eastAsia="新細明體;PMingLiU" w:cs="Times New Roman"/>
      <w:b w:val="false"/>
      <w:i w:val="false"/>
      <w:sz w:val="24"/>
      <w:szCs w:val="24"/>
    </w:rPr>
  </w:style>
  <w:style w:type="character" w:styleId="Style13">
    <w:name w:val="預設段落字型"/>
    <w:qFormat/>
    <w:rPr/>
  </w:style>
  <w:style w:type="character" w:styleId="1">
    <w:name w:val="標題 1 字元"/>
    <w:qFormat/>
    <w:rPr>
      <w:rFonts w:ascii="Cambria" w:hAnsi="Cambria" w:eastAsia="新細明體;PMingLiU" w:cs="Times New Roman"/>
      <w:b/>
      <w:bCs/>
      <w:kern w:val="2"/>
      <w:sz w:val="52"/>
      <w:szCs w:val="52"/>
    </w:rPr>
  </w:style>
  <w:style w:type="character" w:styleId="Style14">
    <w:name w:val="註腳文字 字元"/>
    <w:qFormat/>
    <w:rPr>
      <w:kern w:val="2"/>
    </w:rPr>
  </w:style>
  <w:style w:type="character" w:styleId="FootnoteCharacters">
    <w:name w:val="Footnote Characters"/>
    <w:qFormat/>
    <w:rPr>
      <w:vertAlign w:val="superscript"/>
    </w:rPr>
  </w:style>
  <w:style w:type="character" w:styleId="Style15">
    <w:name w:val="頁首 字元"/>
    <w:qFormat/>
    <w:rPr>
      <w:kern w:val="2"/>
    </w:rPr>
  </w:style>
  <w:style w:type="character" w:styleId="Style16">
    <w:name w:val="頁尾 字元"/>
    <w:qFormat/>
    <w:rPr>
      <w:kern w:val="2"/>
    </w:rPr>
  </w:style>
  <w:style w:type="character" w:styleId="PageNumber">
    <w:name w:val="page number"/>
    <w:basedOn w:val="Style13"/>
    <w:rPr/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JEB1">
    <w:name w:val="JEB 1."/>
    <w:basedOn w:val="Normal"/>
    <w:qFormat/>
    <w:pPr>
      <w:keepNext w:val="true"/>
      <w:snapToGrid w:val="false"/>
      <w:spacing w:lineRule="atLeast" w:line="0" w:before="360" w:after="0"/>
      <w:jc w:val="both"/>
    </w:pPr>
    <w:rPr>
      <w:b/>
      <w:sz w:val="36"/>
    </w:rPr>
  </w:style>
  <w:style w:type="paragraph" w:styleId="JEB11">
    <w:name w:val="JEB 1.1."/>
    <w:basedOn w:val="Normal"/>
    <w:qFormat/>
    <w:pPr>
      <w:keepNext w:val="true"/>
      <w:snapToGrid w:val="false"/>
      <w:spacing w:lineRule="atLeast" w:line="0" w:before="360" w:after="0"/>
      <w:jc w:val="both"/>
    </w:pPr>
    <w:rPr>
      <w:b/>
      <w:bCs/>
      <w:sz w:val="32"/>
      <w:szCs w:val="32"/>
    </w:rPr>
  </w:style>
  <w:style w:type="paragraph" w:styleId="JEB111">
    <w:name w:val="JEB 1.1.1."/>
    <w:basedOn w:val="Normal"/>
    <w:qFormat/>
    <w:pPr>
      <w:keepNext w:val="true"/>
      <w:snapToGrid w:val="false"/>
      <w:spacing w:lineRule="atLeast" w:line="0" w:before="360" w:after="0"/>
      <w:jc w:val="both"/>
    </w:pPr>
    <w:rPr>
      <w:b/>
      <w:bCs/>
      <w:kern w:val="0"/>
      <w:sz w:val="28"/>
      <w:szCs w:val="28"/>
    </w:rPr>
  </w:style>
  <w:style w:type="paragraph" w:styleId="JEB">
    <w:name w:val="JEB內文"/>
    <w:basedOn w:val="Normal"/>
    <w:qFormat/>
    <w:pPr>
      <w:snapToGrid w:val="false"/>
      <w:spacing w:lineRule="atLeast" w:line="400" w:before="50" w:after="50"/>
      <w:ind w:firstLineChars="200" w:startChars="0" w:start="0" w:endChars="0" w:end="0"/>
      <w:jc w:val="both"/>
    </w:pPr>
    <w:rPr>
      <w:color w:val="000000"/>
      <w:kern w:val="0"/>
    </w:rPr>
  </w:style>
  <w:style w:type="paragraph" w:styleId="JEB2">
    <w:name w:val="JEB作者"/>
    <w:basedOn w:val="Normal"/>
    <w:qFormat/>
    <w:pPr>
      <w:snapToGrid w:val="false"/>
      <w:spacing w:before="240" w:after="0"/>
      <w:jc w:val="center"/>
    </w:pPr>
    <w:rPr>
      <w:bCs/>
    </w:rPr>
  </w:style>
  <w:style w:type="paragraph" w:styleId="JEB3">
    <w:name w:val="JEB摘要"/>
    <w:basedOn w:val="Normal"/>
    <w:qFormat/>
    <w:pPr>
      <w:keepNext w:val="true"/>
      <w:snapToGrid w:val="false"/>
      <w:spacing w:before="100" w:after="0"/>
    </w:pPr>
    <w:rPr>
      <w:b/>
    </w:rPr>
  </w:style>
  <w:style w:type="paragraph" w:styleId="JEB4">
    <w:name w:val="JEB摘要內容"/>
    <w:basedOn w:val="Normal"/>
    <w:qFormat/>
    <w:pPr>
      <w:snapToGrid w:val="false"/>
      <w:spacing w:before="50" w:after="0"/>
      <w:ind w:firstLineChars="200" w:startChars="0" w:start="0" w:endChars="0" w:end="0"/>
      <w:jc w:val="both"/>
    </w:pPr>
    <w:rPr>
      <w:rFonts w:eastAsia="標楷體"/>
      <w:color w:val="000000"/>
      <w:kern w:val="0"/>
      <w:sz w:val="22"/>
    </w:rPr>
  </w:style>
  <w:style w:type="paragraph" w:styleId="JEB5">
    <w:name w:val="JEB標題"/>
    <w:basedOn w:val="Normal"/>
    <w:qFormat/>
    <w:pPr>
      <w:snapToGrid w:val="false"/>
      <w:spacing w:lineRule="atLeast" w:line="0" w:before="360" w:after="180"/>
      <w:jc w:val="center"/>
    </w:pPr>
    <w:rPr>
      <w:b/>
      <w:sz w:val="40"/>
      <w:szCs w:val="40"/>
    </w:rPr>
  </w:style>
  <w:style w:type="paragraph" w:styleId="JEB6">
    <w:name w:val="JEB關鍵詞"/>
    <w:basedOn w:val="Normal"/>
    <w:qFormat/>
    <w:pPr>
      <w:snapToGrid w:val="false"/>
      <w:spacing w:lineRule="atLeast" w:line="0" w:before="50" w:after="0"/>
      <w:ind w:hangingChars="490" w:endChars="0" w:end="0" w:left="1078"/>
      <w:jc w:val="both"/>
    </w:pPr>
    <w:rPr>
      <w:rFonts w:eastAsia="標楷體"/>
      <w:i/>
      <w:sz w:val="22"/>
    </w:rPr>
  </w:style>
  <w:style w:type="paragraph" w:styleId="Style17">
    <w:name w:val="註解文字"/>
    <w:basedOn w:val="Normal"/>
    <w:qFormat/>
    <w:pPr/>
    <w:rPr/>
  </w:style>
  <w:style w:type="paragraph" w:styleId="JEB7">
    <w:name w:val="JEB圖表標題"/>
    <w:basedOn w:val="JEB"/>
    <w:qFormat/>
    <w:pPr>
      <w:spacing w:before="180" w:after="180"/>
      <w:ind w:firstLineChars="83" w:startChars="0" w:start="0" w:endChars="0" w:end="0"/>
      <w:jc w:val="center"/>
    </w:pPr>
    <w:rPr>
      <w:b/>
    </w:rPr>
  </w:style>
  <w:style w:type="paragraph" w:styleId="JEB8">
    <w:name w:val="JEB參考文獻"/>
    <w:basedOn w:val="Normal"/>
    <w:qFormat/>
    <w:pPr>
      <w:widowControl/>
      <w:spacing w:before="50" w:after="0"/>
      <w:ind w:hangingChars="225" w:endChars="0" w:end="0" w:left="0"/>
      <w:jc w:val="both"/>
    </w:pPr>
    <w:rPr/>
  </w:style>
  <w:style w:type="paragraph" w:styleId="JEB-1">
    <w:name w:val="JEB-序列1"/>
    <w:basedOn w:val="Normal"/>
    <w:qFormat/>
    <w:pPr>
      <w:numPr>
        <w:ilvl w:val="0"/>
        <w:numId w:val="3"/>
      </w:numPr>
    </w:pPr>
    <w:rPr/>
  </w:style>
  <w:style w:type="paragraph" w:styleId="JEB-2">
    <w:name w:val="JEB-序列2"/>
    <w:basedOn w:val="Normal"/>
    <w:qFormat/>
    <w:pPr>
      <w:numPr>
        <w:ilvl w:val="0"/>
        <w:numId w:val="6"/>
      </w:numPr>
    </w:pPr>
    <w:rPr/>
  </w:style>
  <w:style w:type="paragraph" w:styleId="JEB-11">
    <w:name w:val="JEB-條列1"/>
    <w:basedOn w:val="JEB-1"/>
    <w:qFormat/>
    <w:pPr>
      <w:numPr>
        <w:ilvl w:val="0"/>
        <w:numId w:val="2"/>
      </w:numPr>
    </w:pPr>
    <w:rPr/>
  </w:style>
  <w:style w:type="paragraph" w:styleId="JEB-21">
    <w:name w:val="JEB-條列2"/>
    <w:basedOn w:val="JEB-2"/>
    <w:qFormat/>
    <w:pPr>
      <w:numPr>
        <w:ilvl w:val="0"/>
        <w:numId w:val="5"/>
      </w:numPr>
    </w:pPr>
    <w:rPr/>
  </w:style>
  <w:style w:type="paragraph" w:styleId="JEB-">
    <w:name w:val="JEB-方程式"/>
    <w:basedOn w:val="Normal"/>
    <w:qFormat/>
    <w:pPr>
      <w:tabs>
        <w:tab w:val="clear" w:pos="480"/>
        <w:tab w:val="right" w:pos="8160" w:leader="none"/>
      </w:tabs>
      <w:ind w:firstLineChars="0" w:firstLine="0" w:startChars="200" w:endChars="0" w:end="0"/>
    </w:pPr>
    <w:rPr/>
  </w:style>
  <w:style w:type="paragraph" w:styleId="JEB04908505">
    <w:name w:val="樣式 JEB關鍵詞 + 左:  0 公分 凸出:  4.9 字元 右:  0.85 公分 套用前:  0.5 行"/>
    <w:basedOn w:val="JEB6"/>
    <w:qFormat/>
    <w:pPr>
      <w:ind w:hangingChars="490" w:startChars="0" w:start="0" w:endChars="0" w:end="0"/>
    </w:pPr>
    <w:rPr>
      <w:rFonts w:cs="新細明體;PMingLiU"/>
      <w:b/>
      <w:bCs/>
      <w:iCs/>
      <w:szCs w:val="20"/>
    </w:rPr>
  </w:style>
  <w:style w:type="paragraph" w:styleId="FootnoteText">
    <w:name w:val="footnote text"/>
    <w:basedOn w:val="Normal"/>
    <w:pPr>
      <w:snapToGrid w:val="false"/>
    </w:pPr>
    <w:rPr>
      <w:sz w:val="20"/>
      <w:szCs w:val="20"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  <w:lang w:val="en-US"/>
    </w:rPr>
  </w:style>
  <w:style w:type="paragraph" w:styleId="Footer">
    <w:name w:val="footer"/>
    <w:basedOn w:val="Normal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JEB-Normal (2013)</Template>
  <TotalTime>185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2012-10-19T01:14:00Z</dcterms:created>
  <dc:creator/>
  <dc:description/>
  <cp:keywords/>
  <dc:language>en-US</dc:language>
  <cp:lastModifiedBy/>
  <dcterms:modified xsi:type="dcterms:W3CDTF">2014-01-22T02:59:00Z</dcterms:modified>
  <cp:revision>5</cp:revision>
  <dc:subject/>
  <dc:title/>
</cp:coreProperties>
</file>