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JEB5"/>
        <w:rPr>
          <w:rFonts w:hint="eastAsia"/>
        </w:rPr>
      </w:pPr>
      <w:r>
        <w:rPr>
          <w:rFonts w:hint="eastAsia"/>
        </w:rPr>
        <w:t>Description of JEB Paper Format</w:t>
      </w:r>
    </w:p>
    <w:p>
      <w:pPr>
        <w:pStyle w:val="JEB3"/>
        <w:spacing w:before="360" w:after="0"/>
        <w:rPr>
          <w:rFonts w:hint="eastAsia"/>
        </w:rPr>
      </w:pPr>
      <w:r>
        <w:rPr>
          <w:rFonts w:hint="eastAsia"/>
        </w:rPr>
        <w:t>Abstract</w:t>
      </w:r>
    </w:p>
    <w:p>
      <w:pPr>
        <w:pStyle w:val="JEB4"/>
        <w:spacing w:before="180" w:after="0"/>
        <w:ind w:endChars="0" w:end="0"/>
        <w:rPr/>
      </w:pPr>
      <w:r>
        <w:rPr>
          <w:rFonts w:hint="eastAsia"/>
        </w:rPr>
        <w:t xml:space="preserve">In this paper, we </w:t>
      </w:r>
      <w:r>
        <w:rPr/>
        <w:t>describe</w:t>
      </w:r>
      <w:r>
        <w:rPr>
          <w:rFonts w:hint="eastAsia"/>
        </w:rPr>
        <w:t xml:space="preserve"> how to compose your paper by following the JEB paper format. After finishing the typesetting, Please send your paper to assistant editor of JEB by </w:t>
        <w:t>E</w:t>
        <w:noBreakHyphen/>
        <w:t>mail</w:t>
        <w:t xml:space="preserve">.</w:t>
      </w:r>
    </w:p>
    <w:p>
      <w:pPr>
        <w:pStyle w:val="JEB6"/>
        <w:spacing w:before="180" w:after="0"/>
        <w:ind w:endChars="0" w:end="0"/>
        <w:rPr>
          <w:rFonts w:hint="eastAsia"/>
        </w:rPr>
      </w:pPr>
      <w:r>
        <w:rPr>
          <w:rFonts w:hint="eastAsia"/>
        </w:rPr>
        <w:t>Keywords: JEB, paper format</w:t>
      </w:r>
    </w:p>
    <w:p>
      <w:pPr>
        <w:pStyle w:val="JEB5"/>
        <w:snapToGrid w:val="false"/>
        <w:spacing w:lineRule="atLeast" w:line="0" w:before="360" w:after="180"/>
        <w:jc w:val="center"/>
        <w:rPr>
          <w:rFonts w:hint="eastAsia"/>
        </w:rPr>
      </w:pPr>
      <w:r>
        <w:rPr/>
        <w:t>電子商務學報</w:t>
      </w:r>
      <w:r>
        <w:rPr>
          <w:rFonts w:hint="eastAsia"/>
        </w:rPr>
        <w:t>稿件格式說明</w:t>
      </w:r>
      <w:r>
        <w:rPr>
          <w:rStyle w:val="FootnoteReference"/>
          <w:vertAlign w:val="superscript"/>
        </w:rPr>
        <w:footnoteReference w:id="2"/>
      </w:r>
    </w:p>
    <w:p>
      <w:pPr>
        <w:pStyle w:val="JEB3"/>
        <w:spacing w:before="360" w:after="0"/>
        <w:rPr/>
      </w:pPr>
      <w:r>
        <w:rPr/>
        <w:t>摘要</w:t>
      </w:r>
    </w:p>
    <w:p>
      <w:pPr>
        <w:pStyle w:val="JEB4"/>
        <w:spacing w:before="180" w:after="0"/>
        <w:ind w:endChars="0" w:end="0"/>
        <w:rPr/>
      </w:pPr>
      <w:r>
        <w:rPr/>
        <w:t>本文為電子商務學報稿件格式說明，請您依照本文說明將稿件排版完成後，請將稿件電子檔以</w:t>
      </w:r>
      <w:r>
        <w:rPr/>
        <w:t>E</w:t>
        <w:noBreakHyphen/>
        <w:t>mail</w:t>
      </w:r>
      <w:r>
        <w:rPr/>
        <w:t>方式寄給本刊編輯助理，以便加速稿件處理與刊登程序。稿件格式說明內容包括論文摘要頁、論文正文與參考文獻編排方式。</w:t>
      </w:r>
    </w:p>
    <w:p>
      <w:pPr>
        <w:pStyle w:val="JEB6"/>
        <w:spacing w:before="180" w:after="0"/>
        <w:ind w:endChars="0" w:end="0"/>
        <w:rPr>
          <w:rFonts w:hint="eastAsia"/>
        </w:rPr>
      </w:pPr>
      <w:r>
        <w:rPr>
          <w:rFonts w:hint="eastAsia"/>
        </w:rPr>
        <w:t>關鍵詞：電子商務學報、稿件格式</w:t>
      </w:r>
    </w:p>
    <w:p>
      <w:pPr>
        <w:pStyle w:val="JEB1"/>
        <w:rPr/>
      </w:pPr>
      <w:r>
        <w:rPr>
          <w:rFonts w:hint="eastAsia"/>
        </w:rPr>
        <w:t>1. Manuscript Structure</w:t>
      </w:r>
      <w:r>
        <w:rPr>
          <w:rFonts w:hint="eastAsia"/>
        </w:rPr>
        <w:t/>
      </w:r>
    </w:p>
    <w:p>
      <w:pPr>
        <w:pStyle w:val="JEB"/>
        <w:spacing w:before="180" w:after="180"/>
        <w:ind w:endChars="0" w:end="0"/>
        <w:rPr/>
      </w:pPr>
      <w:r>
        <w:rPr>
          <w:rFonts w:hint="eastAsia"/>
        </w:rPr>
        <w:t>The manuscript must include Chinese and English abstracts, the main text, references, and any appendices. Number the pages consecutively. The formatting requirements for each part are described below.</w:t>
      </w:r>
      <w:r>
        <w:rPr/>
        <w:t/>
      </w:r>
      <w:r>
        <w:rPr>
          <w:rFonts w:hint="eastAsia"/>
        </w:rPr>
        <w:t/>
      </w:r>
    </w:p>
    <w:p>
      <w:pPr>
        <w:pStyle w:val="JEB"/>
        <w:spacing w:before="180" w:after="180"/>
        <w:ind w:endChars="0" w:end="0"/>
        <w:rPr>
          <w:rFonts w:hint="eastAsia"/>
        </w:rPr>
      </w:pPr>
      <w:r>
        <w:rPr>
          <w:rFonts w:hint="eastAsia"/>
        </w:rPr>
        <w:t>Prepare the manuscript in Microsoft Word. Before formatting, import the styles from JEB-Normal.dot into your document. In Office XP: (1) open Word; (2) select Tools; (3) select Templates and Add-ins; (4) select Organizer at the lower left; (5) open the Styles tab. On the right, close the default template, select Open File, and open JEB-Normal.dot; (6) select all styles whose names contain JEB and copy them to your document on the left.</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p>
    <w:p>
      <w:pPr>
        <w:pStyle w:val="JEB11"/>
        <w:rPr>
          <w:rFonts w:hint="eastAsia"/>
        </w:rPr>
      </w:pPr>
      <w:r>
        <w:rPr>
          <w:rFonts w:hint="eastAsia"/>
        </w:rPr>
        <w:t xml:space="preserve">1.1 Abstract Pages</w:t>
      </w:r>
      <w:r>
        <w:rPr>
          <w:rFonts w:hint="eastAsia"/>
        </w:rPr>
        <w:t/>
      </w:r>
    </w:p>
    <w:p>
      <w:pPr>
        <w:pStyle w:val="JEB"/>
        <w:spacing w:before="180" w:after="180"/>
        <w:ind w:endChars="0" w:end="0"/>
        <w:rPr>
          <w:rFonts w:hint="eastAsia"/>
        </w:rPr>
      </w:pPr>
      <w:r>
        <w:rPr/>
        <w:t>Each abstract page must contain the paper title, abstract, and keywords, with one version in Chinese and one in English. The abstract must not exceed 300 characters, and no more than five keywords are allowed. Anonymous manuscripts must not include author names, affiliations, or other identifying information.</w:t>
      </w:r>
      <w:r>
        <w:rPr>
          <w:rFonts w:hint="eastAsia"/>
        </w:rPr>
        <w:t/>
      </w:r>
      <w:r>
        <w:rPr/>
        <w:t/>
      </w:r>
      <w:r>
        <w:rPr>
          <w:rFonts w:hint="eastAsia"/>
        </w:rPr>
        <w:t/>
      </w:r>
      <w:r>
        <w:rPr/>
        <w:t/>
      </w:r>
      <w:r>
        <w:rPr>
          <w:rFonts w:hint="eastAsia"/>
        </w:rPr>
        <w:t/>
      </w:r>
      <w:r>
        <w:rPr/>
        <w:t/>
      </w:r>
      <w:r>
        <w:rPr>
          <w:rFonts w:hint="eastAsia"/>
        </w:rPr>
        <w:t/>
      </w:r>
      <w:r>
        <w:rPr/>
        <w:t/>
      </w:r>
    </w:p>
    <w:p>
      <w:pPr>
        <w:pStyle w:val="JEB"/>
        <w:spacing w:before="180" w:after="180"/>
        <w:ind w:endChars="0" w:end="0"/>
        <w:rPr>
          <w:rFonts w:hint="eastAsia"/>
        </w:rPr>
      </w:pPr>
      <w:r>
        <w:rPr>
          <w:rFonts w:hint="eastAsia"/>
        </w:rPr>
        <w:t>Use the JEB title style (「JEB標題」) in JEB-Normal.dot for the paper title, the JEB abstract style (「JEB摘要」) for the abstract, and the JEB keywords style (「JEB關鍵詞」) for the keywords.</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p>
    <w:p>
      <w:pPr>
        <w:pStyle w:val="JEB"/>
        <w:spacing w:before="180" w:after="180"/>
        <w:ind w:endChars="0" w:end="0"/>
        <w:rPr>
          <w:rFonts w:hint="eastAsia"/>
        </w:rPr>
      </w:pPr>
      <w:r>
        <w:rPr>
          <w:rFonts w:hint="eastAsia"/>
        </w:rPr>
        <w:t>For a Chinese manuscript, place the Chinese title, abstract, and keywords before their English versions. For an English manuscript, place the English versions first, followed by the Chinese versions.</w:t>
      </w:r>
    </w:p>
    <w:p>
      <w:pPr>
        <w:pStyle w:val="JEB11"/>
        <w:rPr>
          <w:rFonts w:hint="eastAsia"/>
        </w:rPr>
      </w:pPr>
      <w:r>
        <w:rPr>
          <w:rFonts w:hint="eastAsia"/>
        </w:rPr>
        <w:t xml:space="preserve">1.2 Main Text</w:t>
      </w:r>
      <w:r>
        <w:rPr>
          <w:rFonts w:hint="eastAsia"/>
        </w:rPr>
        <w:t/>
      </w:r>
    </w:p>
    <w:p>
      <w:pPr>
        <w:pStyle w:val="JEB"/>
        <w:spacing w:before="180" w:after="180"/>
        <w:ind w:endChars="0" w:end="0"/>
        <w:rPr>
          <w:rFonts w:hint="eastAsia"/>
        </w:rPr>
      </w:pPr>
      <w:r>
        <w:rPr>
          <w:rFonts w:hint="eastAsia"/>
        </w:rPr>
        <w:t>Use the styles JEB 1., JEB 1.1., and JEB 1.1.1. for successive heading levels. Use (1) for numbered items within a section and (a) for the next level of subdivision. Figure 1 shows the numbering hierarchy. For citation examples, see Section 1.2.2.</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p>
    <w:tbl>
      <w:tblPr>
        <w:tblW w:w="2050" w:type="pct"/>
        <w:jc w:val="center"/>
        <w:tblInd w:w="0" w:type="dxa"/>
        <w:tblLayout w:type="fixed"/>
        <w:tblCellMar>
          <w:top w:w="15" w:type="dxa"/>
          <w:start w:w="15" w:type="dxa"/>
          <w:bottom w:w="15" w:type="dxa"/>
          <w:end w:w="15" w:type="dxa"/>
        </w:tblCellMar>
      </w:tblPr>
      <w:tblGrid>
        <w:gridCol w:w="3405"/>
      </w:tblGrid>
      <w:tr>
        <w:trPr>
          <w:trHeight w:val="810" w:hRule="atLeast"/>
        </w:trPr>
        <w:tc>
          <w:tcPr>
            <w:tcW w:w="3405" w:type="dxa"/>
            <w:tcBorders>
              <w:top w:val="thickThinLargeGap" w:sz="6" w:space="0" w:color="C0C0C0"/>
              <w:start w:val="thickThinLargeGap" w:sz="6" w:space="0" w:color="C0C0C0"/>
              <w:bottom w:val="thickThinLargeGap" w:sz="6" w:space="0" w:color="C0C0C0"/>
              <w:end w:val="thickThinLargeGap" w:sz="6" w:space="0" w:color="C0C0C0"/>
            </w:tcBorders>
            <w:vAlign w:val="center"/>
          </w:tcPr>
          <w:p>
            <w:pPr>
              <w:pStyle w:val="JEB"/>
              <w:spacing w:before="0" w:after="0"/>
              <w:ind w:endChars="0" w:end="0"/>
              <w:rPr>
                <w:rFonts w:hint="eastAsia"/>
              </w:rPr>
            </w:pPr>
            <w:r>
              <w:rPr>
                <w:rFonts w:hint="eastAsia"/>
              </w:rPr>
              <w:t xml:space="preserve">1. Introduction</w:t>
            </w:r>
            <w:r>
              <w:rPr/>
              <w:t/>
            </w:r>
          </w:p>
          <w:p>
            <w:pPr>
              <w:pStyle w:val="JEB"/>
              <w:spacing w:before="0" w:after="0"/>
              <w:ind w:endChars="0" w:end="0"/>
              <w:rPr>
                <w:rFonts w:hint="eastAsia"/>
              </w:rPr>
            </w:pPr>
            <w:r>
              <w:rPr/>
              <w:t>2. Literature Review</w:t>
            </w:r>
            <w:r>
              <w:rPr>
                <w:rFonts w:hint="eastAsia"/>
              </w:rPr>
              <w:t xml:space="preserve"/>
            </w:r>
            <w:r>
              <w:rPr/>
              <w:t/>
            </w:r>
          </w:p>
          <w:p>
            <w:pPr>
              <w:pStyle w:val="JEB"/>
              <w:spacing w:before="0" w:after="0"/>
              <w:ind w:endChars="0" w:end="0"/>
              <w:rPr>
                <w:rFonts w:hint="eastAsia"/>
              </w:rPr>
            </w:pPr>
            <w:r>
              <w:rPr/>
              <w:t>3. Research Methods</w:t>
            </w:r>
            <w:r>
              <w:rPr>
                <w:rFonts w:hint="eastAsia"/>
              </w:rPr>
              <w:t xml:space="preserve"/>
            </w:r>
            <w:r>
              <w:rPr/>
              <w:t/>
            </w:r>
          </w:p>
          <w:p>
            <w:pPr>
              <w:pStyle w:val="JEB"/>
              <w:spacing w:before="0" w:after="0"/>
              <w:ind w:endChars="0" w:end="0"/>
              <w:rPr/>
            </w:pPr>
            <w:r>
              <w:rPr/>
              <w:t xml:space="preserve">  3.1 Research Model</w:t>
            </w:r>
            <w:r>
              <w:rPr/>
              <w:t xml:space="preserve"/>
            </w:r>
            <w:r>
              <w:rPr/>
              <w:t/>
            </w:r>
          </w:p>
          <w:p>
            <w:pPr>
              <w:pStyle w:val="JEB"/>
              <w:spacing w:before="0" w:after="0"/>
              <w:ind w:endChars="0" w:end="0"/>
              <w:rPr/>
            </w:pPr>
            <w:r>
              <w:rPr/>
              <w:t xml:space="preserve">     (1) Method One</w:t>
            </w:r>
            <w:r>
              <w:rPr/>
              <w:t xml:space="preserve"/>
            </w:r>
            <w:r>
              <w:rPr/>
              <w:t/>
            </w:r>
          </w:p>
          <w:p>
            <w:pPr>
              <w:pStyle w:val="JEB"/>
              <w:spacing w:before="0" w:after="0"/>
              <w:ind w:endChars="0" w:end="0"/>
              <w:rPr/>
            </w:pPr>
            <w:r>
              <w:rPr/>
              <w:t xml:space="preserve">        (a) Step One</w:t>
            </w:r>
            <w:r>
              <w:rPr/>
              <w:t xml:space="preserve"/>
            </w:r>
            <w:r>
              <w:rPr/>
              <w:t/>
            </w:r>
          </w:p>
        </w:tc>
      </w:tr>
    </w:tbl>
    <w:p>
      <w:pPr>
        <w:pStyle w:val="JEB7"/>
        <w:rPr>
          <w:rFonts w:hint="eastAsia"/>
        </w:rPr>
      </w:pPr>
      <w:r>
        <w:rPr>
          <w:rFonts w:hint="eastAsia"/>
        </w:rPr>
        <w:t>Figure 1  Numbering Hierarchy</w:t>
      </w:r>
      <w:r>
        <w:rPr>
          <w:rFonts w:hint="eastAsia"/>
        </w:rPr>
        <w:t/>
      </w:r>
      <w:r>
        <w:rPr>
          <w:rFonts w:hint="eastAsia"/>
        </w:rPr>
        <w:t/>
      </w:r>
    </w:p>
    <w:p>
      <w:pPr>
        <w:pStyle w:val="JEB"/>
        <w:spacing w:before="180" w:after="180"/>
        <w:ind w:endChars="0" w:end="0"/>
        <w:rPr>
          <w:rFonts w:hint="eastAsia"/>
        </w:rPr>
      </w:pPr>
      <w:r>
        <w:rPr>
          <w:rFonts w:hint="eastAsia"/>
        </w:rPr>
        <w:t>Use the JEB body-text style (「JEB內文」) throughout the main text. Use PMingLiU for Chinese text and Times New Roman for English text, both at 12 points.</w:t>
      </w:r>
      <w:r>
        <w:rPr>
          <w:rFonts w:hint="eastAsia"/>
        </w:rPr>
        <w:t/>
      </w:r>
      <w:r>
        <w:rPr>
          <w:rFonts w:hint="eastAsia"/>
        </w:rPr>
        <w:t/>
      </w:r>
      <w:r>
        <w:rPr>
          <w:rFonts w:hint="eastAsia"/>
        </w:rPr>
        <w:t/>
      </w:r>
      <w:r>
        <w:rPr>
          <w:rFonts w:hint="eastAsia"/>
        </w:rPr>
        <w:t/>
      </w:r>
      <w:r>
        <w:rPr>
          <w:rFonts w:hint="eastAsia"/>
        </w:rPr>
        <w:t/>
      </w:r>
      <w:r>
        <w:rPr>
          <w:rFonts w:hint="eastAsia"/>
        </w:rPr>
        <w:t/>
      </w:r>
    </w:p>
    <w:p>
      <w:pPr>
        <w:pStyle w:val="JEB111"/>
        <w:rPr>
          <w:rFonts w:hint="eastAsia"/>
        </w:rPr>
      </w:pPr>
      <w:r>
        <w:rPr>
          <w:rFonts w:hint="eastAsia"/>
        </w:rPr>
        <w:t xml:space="preserve">1.2.1 Notes</w:t>
      </w:r>
      <w:r>
        <w:rPr>
          <w:rFonts w:hint="eastAsia"/>
        </w:rPr>
        <w:t/>
      </w:r>
    </w:p>
    <w:p>
      <w:pPr>
        <w:pStyle w:val="JEB"/>
        <w:spacing w:before="180" w:after="180"/>
        <w:ind w:endChars="0" w:end="0"/>
        <w:rPr>
          <w:rFonts w:hint="eastAsia"/>
        </w:rPr>
      </w:pPr>
      <w:r>
        <w:rPr>
          <w:rFonts w:hint="eastAsia"/>
        </w:rPr>
        <w:t>Place explanatory notes at the bottom of the page, separated from the main text by a horizontal rule, or use the Footnote feature in Word.</w:t>
      </w:r>
      <w:r>
        <w:rPr/>
        <w:t/>
      </w:r>
      <w:r>
        <w:rPr>
          <w:rFonts w:hint="eastAsia"/>
        </w:rPr>
        <w:t/>
      </w:r>
      <w:r>
        <w:rPr/>
        <w:t/>
      </w:r>
      <w:r>
        <w:rPr>
          <w:rFonts w:hint="eastAsia"/>
        </w:rPr>
        <w:t/>
      </w:r>
      <w:r>
        <w:rPr>
          <w:rFonts w:hint="eastAsia"/>
        </w:rPr>
        <w:t/>
      </w:r>
      <w:r>
        <w:rPr>
          <w:rFonts w:hint="eastAsia"/>
        </w:rPr>
        <w:t/>
      </w:r>
      <w:r>
        <w:rPr/>
        <w:t/>
      </w:r>
    </w:p>
    <w:p>
      <w:pPr>
        <w:pStyle w:val="JEB"/>
        <w:spacing w:before="180" w:after="180"/>
        <w:ind w:endChars="0" w:end="0"/>
        <w:rPr>
          <w:rFonts w:hint="eastAsia"/>
        </w:rPr>
      </w:pPr>
      <w:r>
        <w:rPr>
          <w:rFonts w:hint="eastAsia"/>
        </w:rPr>
        <w:t>In Office XP, select (1) Insert, then (2) Reference and Footnote to insert footnotes or endnotes.</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p>
    <w:p>
      <w:pPr>
        <w:pStyle w:val="JEB111"/>
        <w:rPr>
          <w:rFonts w:hint="eastAsia"/>
        </w:rPr>
      </w:pPr>
      <w:r>
        <w:rPr>
          <w:rFonts w:hint="eastAsia"/>
        </w:rPr>
        <w:t xml:space="preserve">1.2.2 Citations</w:t>
      </w:r>
      <w:r>
        <w:rPr>
          <w:rFonts w:hint="eastAsia"/>
        </w:rPr>
        <w:t/>
      </w:r>
    </w:p>
    <w:p>
      <w:pPr>
        <w:pStyle w:val="JEB"/>
        <w:spacing w:before="180" w:after="180"/>
        <w:ind w:endChars="0" w:end="0"/>
        <w:rPr>
          <w:rFonts w:hint="eastAsia"/>
        </w:rPr>
      </w:pPr>
      <w:r>
        <w:rPr>
          <w:rFonts w:hint="eastAsia"/>
        </w:rPr>
        <w:t>Use the following examples as a guide for citations in the main text.</w:t>
      </w:r>
    </w:p>
    <w:p>
      <w:pPr>
        <w:pStyle w:val="JEB-1"/>
        <w:numPr>
          <w:ilvl w:val="0"/>
          <w:numId w:val="4"/>
        </w:numPr>
        <w:rPr>
          <w:rFonts w:hint="eastAsia"/>
          <w:b/>
        </w:rPr>
      </w:pPr>
      <w:r>
        <w:rPr>
          <w:rFonts w:hint="eastAsia"/>
          <w:b/>
        </w:rPr>
        <w:t>Citations at the Beginning of a Sentence</w:t>
      </w:r>
    </w:p>
    <w:p>
      <w:pPr>
        <w:pStyle w:val="JEB"/>
        <w:spacing w:before="180" w:after="180"/>
        <w:ind w:endChars="0" w:end="0"/>
        <w:rPr>
          <w:rFonts w:hint="eastAsia"/>
        </w:rPr>
      </w:pPr>
      <w:r>
        <w:rPr/>
        <w:t>Marien (1994) argues that information overload arises when people try to keep pace with the production of information but find themselves falling further behind.</w:t>
      </w:r>
      <w:r>
        <w:rPr/>
        <w:t/>
      </w:r>
      <w:r>
        <w:rPr/>
        <w:t/>
      </w:r>
      <w:r>
        <w:rPr/>
        <w:t/>
      </w:r>
    </w:p>
    <w:p>
      <w:pPr>
        <w:pStyle w:val="JEB"/>
        <w:spacing w:before="180" w:after="180"/>
        <w:ind w:endChars="0" w:end="0"/>
        <w:rPr/>
      </w:pPr>
      <w:r>
        <w:rPr/>
        <w:t>Thonemann (2002)</w:t>
      </w:r>
      <w:r>
        <w:rPr>
          <w:rFonts w:hint="eastAsia"/>
        </w:rPr>
        <w:t xml:space="preserve"> found the </w:t>
      </w:r>
      <w:r>
        <w:rPr/>
        <w:t>supplier’</w:t>
      </w:r>
      <w:r>
        <w:rPr>
          <w:rFonts w:hint="eastAsia"/>
        </w:rPr>
        <w:t xml:space="preserve">s </w:t>
      </w:r>
      <w:r>
        <w:rPr/>
        <w:t xml:space="preserve">average demand delivery and standard deviation </w:t>
      </w:r>
      <w:r>
        <w:rPr>
          <w:rFonts w:hint="eastAsia"/>
        </w:rPr>
        <w:t>can be improved through</w:t>
      </w:r>
      <w:r>
        <w:rPr/>
        <w:t xml:space="preserve"> information sharing</w:t>
      </w:r>
      <w:r>
        <w:rPr>
          <w:rFonts w:hint="eastAsia"/>
        </w:rPr>
        <w:t xml:space="preserve"> in supply chain.</w:t>
      </w:r>
    </w:p>
    <w:p>
      <w:pPr>
        <w:pStyle w:val="JEB-1"/>
        <w:numPr>
          <w:ilvl w:val="0"/>
          <w:numId w:val="4"/>
        </w:numPr>
        <w:rPr>
          <w:rFonts w:hint="eastAsia"/>
          <w:b/>
        </w:rPr>
      </w:pPr>
      <w:r>
        <w:rPr>
          <w:rFonts w:hint="eastAsia"/>
          <w:b/>
        </w:rPr>
        <w:t>Citations Within or at the End of a Sentence</w:t>
      </w:r>
    </w:p>
    <w:p>
      <w:pPr>
        <w:pStyle w:val="JEB"/>
        <w:spacing w:before="180" w:after="180"/>
        <w:ind w:endChars="0" w:end="0"/>
        <w:rPr>
          <w:rFonts w:hint="eastAsia"/>
        </w:rPr>
      </w:pPr>
      <w:r>
        <w:rPr>
          <w:rFonts w:hint="eastAsia"/>
        </w:rPr>
        <w:t>Previous studies indicate that unintentional audit failures can often be avoided (傅鍾仁等人, 2005; 盧正宗 and 祝道松, 2010; Bedard et al., 2007; O’Leary and Stewart, 2007).</w:t>
      </w:r>
      <w:r>
        <w:rPr/>
        <w:t/>
      </w:r>
      <w:r>
        <w:rPr>
          <w:rFonts w:hint="eastAsia"/>
        </w:rPr>
        <w:t/>
      </w:r>
      <w:r>
        <w:rPr/>
        <w:t/>
      </w:r>
      <w:r>
        <w:rPr>
          <w:rFonts w:hint="eastAsia"/>
        </w:rPr>
        <w:t/>
      </w:r>
      <w:r>
        <w:rPr>
          <w:rFonts w:hint="eastAsia"/>
        </w:rPr>
        <w:t/>
      </w:r>
      <w:r>
        <w:rPr/>
        <w:t/>
      </w:r>
      <w:r>
        <w:rPr>
          <w:rFonts w:hint="eastAsia"/>
        </w:rPr>
        <w:t/>
      </w:r>
      <w:r>
        <w:rPr/>
        <w:t/>
      </w:r>
      <w:r>
        <w:rPr>
          <w:rFonts w:hint="eastAsia"/>
        </w:rPr>
        <w:t xml:space="preserve"/>
      </w:r>
      <w:r>
        <w:rPr/>
        <w:t/>
      </w:r>
      <w:r>
        <w:rPr>
          <w:rFonts w:hint="eastAsia"/>
        </w:rPr>
        <w:t xml:space="preserve"/>
      </w:r>
      <w:r>
        <w:rPr/>
        <w:t/>
      </w:r>
      <w:r>
        <w:rPr>
          <w:rFonts w:hint="eastAsia"/>
        </w:rPr>
        <w:t xml:space="preserve"/>
      </w:r>
      <w:r>
        <w:rPr/>
        <w:t xml:space="preserve"/>
      </w:r>
      <w:r>
        <w:rPr>
          <w:rFonts w:hint="eastAsia"/>
        </w:rPr>
        <w:t/>
      </w:r>
      <w:r>
        <w:rPr>
          <w:rFonts w:hint="eastAsia"/>
        </w:rPr>
        <w:t/>
      </w:r>
    </w:p>
    <w:p>
      <w:pPr>
        <w:pStyle w:val="JEB"/>
        <w:spacing w:before="180" w:after="180"/>
        <w:ind w:endChars="0" w:end="0"/>
        <w:rPr/>
      </w:pPr>
      <w:r>
        <w:rPr>
          <w:rFonts w:hint="eastAsia"/>
        </w:rPr>
        <w:t>Based on previous</w:t>
      </w:r>
      <w:r>
        <w:rPr/>
        <w:t xml:space="preserve"> researc</w:t>
      </w:r>
      <w:r>
        <w:rPr>
          <w:rFonts w:hint="eastAsia"/>
        </w:rPr>
        <w:t>h</w:t>
      </w:r>
      <w:r>
        <w:rPr/>
        <w:t xml:space="preserve"> in GDSS and </w:t>
      </w:r>
      <w:r>
        <w:rPr>
          <w:rFonts w:hint="eastAsia"/>
        </w:rPr>
        <w:t>CPS (Creative Problem Solving)</w:t>
      </w:r>
      <w:r>
        <w:rPr/>
        <w:t xml:space="preserve"> </w:t>
      </w:r>
      <w:r>
        <w:rPr>
          <w:rFonts w:hint="eastAsia"/>
        </w:rPr>
        <w:t xml:space="preserve">(Liou and Chen, 1993; Wang and Horng, 2002; Warkentin et al., 1997), </w:t>
      </w:r>
      <w:r>
        <w:rPr/>
        <w:t xml:space="preserve">TeamSpirit is </w:t>
      </w:r>
      <w:r>
        <w:rPr>
          <w:rFonts w:hint="eastAsia"/>
        </w:rPr>
        <w:t xml:space="preserve">employed as </w:t>
      </w:r>
      <w:r>
        <w:rPr/>
        <w:t xml:space="preserve">a Web-based group </w:t>
      </w:r>
      <w:r>
        <w:rPr>
          <w:rFonts w:hint="eastAsia"/>
        </w:rPr>
        <w:t>decision</w:t>
      </w:r>
      <w:r>
        <w:rPr/>
        <w:t xml:space="preserve"> </w:t>
      </w:r>
      <w:r>
        <w:rPr>
          <w:rFonts w:hint="eastAsia"/>
        </w:rPr>
        <w:t xml:space="preserve">making and </w:t>
      </w:r>
      <w:r>
        <w:rPr/>
        <w:t>problem</w:t>
      </w:r>
      <w:r>
        <w:rPr>
          <w:rFonts w:hint="eastAsia"/>
        </w:rPr>
        <w:t>-</w:t>
      </w:r>
      <w:r>
        <w:rPr/>
        <w:t>solving support system for distributed teams</w:t>
      </w:r>
      <w:r>
        <w:rPr>
          <w:rFonts w:hint="eastAsia"/>
        </w:rPr>
        <w:t>.</w:t>
      </w:r>
    </w:p>
    <w:p>
      <w:pPr>
        <w:pStyle w:val="JEB111"/>
        <w:rPr>
          <w:rFonts w:hint="eastAsia"/>
        </w:rPr>
      </w:pPr>
      <w:r>
        <w:rPr>
          <w:rFonts w:hint="eastAsia"/>
        </w:rPr>
        <w:t xml:space="preserve">1.2.3 Figures and Tables</w:t>
      </w:r>
      <w:r>
        <w:rPr>
          <w:rFonts w:hint="eastAsia"/>
        </w:rPr>
        <w:t/>
      </w:r>
    </w:p>
    <w:p>
      <w:pPr>
        <w:pStyle w:val="JEB"/>
        <w:spacing w:before="180" w:after="180"/>
        <w:ind w:endChars="0" w:end="0"/>
        <w:rPr>
          <w:rFonts w:hint="eastAsia"/>
        </w:rPr>
      </w:pPr>
      <w:r>
        <w:rPr>
          <w:rFonts w:hint="eastAsia"/>
        </w:rPr>
        <w:t>Place each figure or table immediately after the paragraph in which it is first mentioned. Put table captions above tables and figure captions below figures. Number figures and tables separately with Arabic numerals, such as Figure 1, Figure 2, Table 1, and Table 2. Use the JEB caption style (「JEB圖表標題」). Place explanatory notes, including explanations of symbols, below the figure or table.</w:t>
      </w:r>
      <w:r>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rFonts w:hint="eastAsia"/>
        </w:rPr>
        <w:t/>
      </w:r>
      <w:r>
        <w:rPr/>
        <w:t/>
      </w:r>
      <w:r>
        <w:rPr>
          <w:rFonts w:hint="eastAsia"/>
        </w:rPr>
        <w:t/>
      </w:r>
      <w:r>
        <w:rPr/>
        <w:t/>
      </w:r>
      <w:r>
        <w:rPr>
          <w:rFonts w:hint="eastAsia"/>
        </w:rPr>
        <w:t/>
      </w:r>
      <w:r>
        <w:rPr/>
        <w:t/>
      </w:r>
      <w:r>
        <w:rPr>
          <w:rFonts w:hint="eastAsia"/>
        </w:rPr>
        <w:t/>
      </w:r>
      <w:r>
        <w:rPr/>
        <w:t/>
      </w:r>
    </w:p>
    <w:p>
      <w:pPr>
        <w:pStyle w:val="JEB111"/>
        <w:rPr>
          <w:rFonts w:hint="eastAsia"/>
        </w:rPr>
      </w:pPr>
      <w:r>
        <w:rPr>
          <w:rFonts w:hint="eastAsia"/>
        </w:rPr>
        <w:t xml:space="preserve">1.2.4 Equations</w:t>
      </w:r>
      <w:r>
        <w:rPr>
          <w:rFonts w:hint="eastAsia"/>
        </w:rPr>
        <w:t/>
      </w:r>
    </w:p>
    <w:p>
      <w:pPr>
        <w:pStyle w:val="JEB"/>
        <w:spacing w:before="180" w:after="180"/>
        <w:ind w:endChars="0" w:end="0"/>
        <w:rPr>
          <w:rFonts w:hint="eastAsia"/>
        </w:rPr>
      </w:pPr>
      <w:r>
        <w:rPr>
          <w:rFonts w:hint="eastAsia"/>
        </w:rPr>
        <w:t>Use the equation editor in Word. Number equations consecutively with Arabic numerals, without section numbers. Place the equation number in parentheses after the equation.</w:t>
      </w:r>
      <w:r>
        <w:rPr>
          <w:rFonts w:hint="eastAsia"/>
        </w:rPr>
        <w:t/>
      </w:r>
      <w:r>
        <w:rPr>
          <w:rFonts w:hint="eastAsia"/>
        </w:rPr>
        <w:t/>
      </w:r>
    </w:p>
    <w:p>
      <w:pPr>
        <w:pStyle w:val="JEB111"/>
        <w:rPr>
          <w:rFonts w:hint="eastAsia"/>
        </w:rPr>
      </w:pPr>
      <w:r>
        <w:rPr>
          <w:rFonts w:hint="eastAsia"/>
        </w:rPr>
        <w:t xml:space="preserve">1.2.5 References</w:t>
      </w:r>
      <w:r>
        <w:rPr>
          <w:rFonts w:hint="eastAsia"/>
        </w:rPr>
        <w:t/>
      </w:r>
    </w:p>
    <w:p>
      <w:pPr>
        <w:pStyle w:val="JEB"/>
        <w:spacing w:before="180" w:after="180"/>
        <w:ind w:endChars="0" w:end="0"/>
        <w:rPr>
          <w:rFonts w:hint="eastAsia"/>
        </w:rPr>
      </w:pPr>
      <w:r>
        <w:rPr>
          <w:rFonts w:hint="eastAsia"/>
        </w:rPr>
        <w:t>List Chinese-language references first, followed by English-language references. Order Chinese entries by the stroke count of the authors’ surnames, and English entries alphabetically by the first author’s surname. Place the first author’s surname first. Follow the examples in Table 1, use the JEB reference style (「JEB參考文獻」), and do not number the entries. Chinese-language examples below are retained in their original language.</w:t>
      </w:r>
      <w:r>
        <w:rPr>
          <w:rFonts w:hint="eastAsia"/>
        </w:rPr>
        <w:t/>
      </w:r>
      <w:r>
        <w:rPr>
          <w:rFonts w:hint="eastAsia"/>
        </w:rPr>
        <w:t/>
      </w:r>
      <w:r>
        <w:rPr>
          <w:rFonts w:hint="eastAsia"/>
        </w:rPr>
        <w:t/>
      </w:r>
      <w:r>
        <w:rPr>
          <w:rFonts w:hint="eastAsia"/>
        </w:rPr>
        <w:t/>
      </w:r>
    </w:p>
    <w:p>
      <w:pPr>
        <w:pStyle w:val="JEB7"/>
        <w:rPr/>
      </w:pPr>
      <w:r>
        <w:rPr/>
        <w:t>Table 1  Reference Formats</w:t>
      </w:r>
      <w:r>
        <w:rPr/>
        <w:t/>
      </w:r>
      <w:r>
        <w:rPr/>
        <w:t/>
      </w:r>
    </w:p>
    <w:tbl>
      <w:tblPr>
        <w:tblW w:w="8491" w:type="dxa"/>
        <w:jc w:val="start"/>
        <w:tblInd w:w="0" w:type="dxa"/>
        <w:tblLayout w:type="fixed"/>
        <w:tblCellMar>
          <w:top w:w="0" w:type="dxa"/>
          <w:start w:w="108" w:type="dxa"/>
          <w:bottom w:w="0" w:type="dxa"/>
          <w:end w:w="108" w:type="dxa"/>
        </w:tblCellMar>
      </w:tblPr>
      <w:tblGrid>
        <w:gridCol w:w="1998"/>
        <w:gridCol w:w="6493"/>
      </w:tblGrid>
      <w:tr>
        <w:trPr/>
        <w:tc>
          <w:tcPr>
            <w:tcW w:w="1998" w:type="dxa"/>
            <w:tcBorders>
              <w:top w:val="single" w:sz="4" w:space="0" w:color="000000"/>
              <w:start w:val="single" w:sz="4" w:space="0" w:color="000000"/>
              <w:bottom w:val="single" w:sz="4" w:space="0" w:color="000000"/>
              <w:end w:val="single" w:sz="4" w:space="0" w:color="000000"/>
            </w:tcBorders>
            <w:shd w:fill="BFBFBF" w:val="clear"/>
            <w:vAlign w:val="center"/>
          </w:tcPr>
          <w:p>
            <w:pPr>
              <w:pStyle w:val="JEB"/>
              <w:spacing w:lineRule="auto" w:line="240" w:before="108" w:after="108"/>
              <w:ind w:firstLineChars="0" w:firstLine="0" w:endChars="0" w:end="0"/>
              <w:jc w:val="center"/>
              <w:rPr>
                <w:rFonts w:hint="eastAsia"/>
                <w:b/>
              </w:rPr>
            </w:pPr>
            <w:r>
              <w:rPr>
                <w:rFonts w:hint="eastAsia"/>
                <w:b/>
              </w:rPr>
              <w:t>Reference Type</w:t>
            </w:r>
          </w:p>
        </w:tc>
        <w:tc>
          <w:tcPr>
            <w:tcW w:w="6493" w:type="dxa"/>
            <w:tcBorders>
              <w:top w:val="single" w:sz="4" w:space="0" w:color="000000"/>
              <w:start w:val="single" w:sz="4" w:space="0" w:color="000000"/>
              <w:bottom w:val="single" w:sz="4" w:space="0" w:color="000000"/>
              <w:end w:val="single" w:sz="4" w:space="0" w:color="000000"/>
            </w:tcBorders>
            <w:shd w:fill="BFBFBF" w:val="clear"/>
          </w:tcPr>
          <w:p>
            <w:pPr>
              <w:pStyle w:val="JEB"/>
              <w:spacing w:lineRule="auto" w:line="240" w:before="108" w:after="108"/>
              <w:ind w:firstLineChars="0" w:firstLine="0" w:endChars="0" w:end="0"/>
              <w:jc w:val="center"/>
              <w:rPr>
                <w:rFonts w:hint="eastAsia"/>
                <w:b/>
              </w:rPr>
            </w:pPr>
            <w:r>
              <w:rPr>
                <w:rFonts w:hint="eastAsia"/>
                <w:b/>
              </w:rPr>
              <w:t>Example</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t>Journal Articles</w:t>
            </w:r>
            <w:r>
              <w:rPr>
                <w:rFonts w:hint="eastAsia"/>
              </w:rPr>
              <w:t/>
            </w:r>
            <w:r>
              <w:rPr/>
              <w:t/>
            </w:r>
          </w:p>
        </w:tc>
        <w:tc>
          <w:tcPr>
            <w:tcW w:w="6493" w:type="dxa"/>
            <w:tcBorders>
              <w:top w:val="single" w:sz="4" w:space="0" w:color="000000"/>
              <w:start w:val="single" w:sz="4" w:space="0" w:color="000000"/>
              <w:bottom w:val="single" w:sz="4" w:space="0" w:color="000000"/>
              <w:end w:val="single" w:sz="4" w:space="0" w:color="000000"/>
            </w:tcBorders>
          </w:tcPr>
          <w:p>
            <w:pPr>
              <w:pStyle w:val="JEB8"/>
              <w:spacing w:before="108" w:after="108"/>
              <w:ind w:endChars="0" w:end="0"/>
              <w:rPr/>
            </w:pPr>
            <w:r>
              <w:rPr>
                <w:rFonts w:hint="eastAsia"/>
              </w:rPr>
              <w:t>葉禾田、陳玉音（</w:t>
            </w:r>
            <w:r>
              <w:rPr>
                <w:rFonts w:hint="eastAsia"/>
              </w:rPr>
              <w:t>2012</w:t>
            </w:r>
            <w:r>
              <w:rPr>
                <w:rFonts w:hint="eastAsia"/>
              </w:rPr>
              <w:t>）。適用於行動設備的數位權利管理系統。</w:t>
            </w:r>
            <w:r>
              <w:rPr>
                <w:rFonts w:hint="eastAsia"/>
                <w:i/>
              </w:rPr>
              <w:t>電子商務學報</w:t>
            </w:r>
            <w:r>
              <w:rPr/>
              <w:t>，</w:t>
            </w:r>
            <w:r>
              <w:rPr>
                <w:rFonts w:hint="eastAsia"/>
                <w:i/>
              </w:rPr>
              <w:t>14</w:t>
            </w:r>
            <w:r>
              <w:rPr>
                <w:rFonts w:hint="eastAsia"/>
              </w:rPr>
              <w:t>（</w:t>
            </w:r>
            <w:r>
              <w:rPr>
                <w:rFonts w:hint="eastAsia"/>
              </w:rPr>
              <w:t>1</w:t>
            </w:r>
            <w:r>
              <w:rPr>
                <w:rFonts w:hint="eastAsia"/>
              </w:rPr>
              <w:t>）</w:t>
            </w:r>
            <w:r>
              <w:rPr/>
              <w:t>，</w:t>
            </w:r>
            <w:r>
              <w:rPr>
                <w:rFonts w:hint="eastAsia"/>
              </w:rPr>
              <w:t>53</w:t>
            </w:r>
            <w:r>
              <w:rPr/>
              <w:t>-</w:t>
            </w:r>
            <w:r>
              <w:rPr>
                <w:rFonts w:hint="eastAsia"/>
              </w:rPr>
              <w:t>72</w:t>
            </w:r>
            <w:r>
              <w:rPr/>
              <w:t>。</w:t>
            </w:r>
          </w:p>
          <w:p>
            <w:pPr>
              <w:pStyle w:val="JEB8"/>
              <w:spacing w:before="108" w:after="108"/>
              <w:ind w:endChars="0" w:end="0"/>
              <w:rPr>
                <w:rFonts w:hint="eastAsia"/>
              </w:rPr>
            </w:pPr>
            <w:r>
              <w:rPr>
                <w:rFonts w:hint="eastAsia"/>
              </w:rPr>
              <w:t xml:space="preserve">Liang, H. M., Chuang, C. F., &amp; Chen, C. M. (2012). Exploring the effects of sharing information on expected cost under the VMI model. </w:t>
            </w:r>
            <w:r>
              <w:rPr>
                <w:rFonts w:hint="eastAsia"/>
                <w:i/>
              </w:rPr>
              <w:t>Journal of e-Business</w:t>
            </w:r>
            <w:r>
              <w:rPr/>
              <w:t xml:space="preserve">, </w:t>
            </w:r>
            <w:r>
              <w:rPr>
                <w:rFonts w:hint="eastAsia"/>
                <w:i/>
              </w:rPr>
              <w:t>14</w:t>
            </w:r>
            <w:r>
              <w:rPr/>
              <w:t>(</w:t>
            </w:r>
            <w:r>
              <w:rPr>
                <w:rFonts w:hint="eastAsia"/>
              </w:rPr>
              <w:t>2</w:t>
            </w:r>
            <w:r>
              <w:rPr/>
              <w:t xml:space="preserve">), </w:t>
            </w:r>
            <w:r>
              <w:rPr>
                <w:rFonts w:hint="eastAsia"/>
              </w:rPr>
              <w:t>329-352</w:t>
            </w:r>
            <w:r>
              <w:rPr/>
              <w:t>.</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t>Books</w:t>
            </w:r>
          </w:p>
        </w:tc>
        <w:tc>
          <w:tcPr>
            <w:tcW w:w="6493" w:type="dxa"/>
            <w:tcBorders>
              <w:top w:val="single" w:sz="4" w:space="0" w:color="000000"/>
              <w:start w:val="single" w:sz="4" w:space="0" w:color="000000"/>
              <w:bottom w:val="single" w:sz="4" w:space="0" w:color="000000"/>
              <w:end w:val="single" w:sz="4" w:space="0" w:color="000000"/>
            </w:tcBorders>
          </w:tcPr>
          <w:p>
            <w:pPr>
              <w:pStyle w:val="JEB"/>
              <w:spacing w:lineRule="auto" w:line="240" w:before="108" w:after="108"/>
              <w:ind w:firstLineChars="0" w:firstLine="0" w:endChars="0" w:end="0"/>
              <w:rPr>
                <w:b/>
              </w:rPr>
            </w:pPr>
            <w:r>
              <w:rPr>
                <w:rFonts w:hint="eastAsia"/>
                <w:b/>
              </w:rPr>
              <w:t>1. General Books</w:t>
            </w:r>
            <w:r>
              <w:rPr>
                <w:rFonts w:hint="eastAsia"/>
                <w:b/>
              </w:rPr>
              <w:t/>
            </w:r>
          </w:p>
          <w:p>
            <w:pPr>
              <w:pStyle w:val="JEB8"/>
              <w:spacing w:before="108" w:after="108"/>
              <w:ind w:endChars="0" w:end="0"/>
              <w:rPr/>
            </w:pPr>
            <w:r>
              <w:rPr>
                <w:rFonts w:hint="eastAsia"/>
              </w:rPr>
              <w:t>謝清佳、吳琮璠（</w:t>
            </w:r>
            <w:r>
              <w:rPr>
                <w:rFonts w:hint="eastAsia"/>
              </w:rPr>
              <w:t>2009</w:t>
            </w:r>
            <w:r>
              <w:rPr>
                <w:rFonts w:hint="eastAsia"/>
              </w:rPr>
              <w:t>）</w:t>
            </w:r>
            <w:r>
              <w:rPr/>
              <w:t>。</w:t>
            </w:r>
            <w:r>
              <w:rPr>
                <w:rFonts w:hint="eastAsia"/>
                <w:i/>
              </w:rPr>
              <w:t>資訊管理：理論與實務</w:t>
            </w:r>
            <w:r>
              <w:rPr/>
              <w:t>。</w:t>
            </w:r>
            <w:r>
              <w:rPr>
                <w:rFonts w:hint="eastAsia"/>
              </w:rPr>
              <w:t>臺</w:t>
            </w:r>
            <w:r>
              <w:rPr/>
              <w:t>北</w:t>
            </w:r>
            <w:r>
              <w:rPr>
                <w:rFonts w:hint="eastAsia"/>
              </w:rPr>
              <w:t>市</w:t>
            </w:r>
            <w:r>
              <w:rPr/>
              <w:t>：</w:t>
            </w:r>
            <w:r>
              <w:rPr>
                <w:rFonts w:hint="eastAsia"/>
              </w:rPr>
              <w:t>智勝文化</w:t>
            </w:r>
            <w:r>
              <w:rPr/>
              <w:t>。</w:t>
            </w:r>
          </w:p>
          <w:p>
            <w:pPr>
              <w:pStyle w:val="JEB8"/>
              <w:spacing w:before="108" w:after="108"/>
              <w:ind w:endChars="0" w:end="0"/>
              <w:rPr/>
            </w:pPr>
            <w:r>
              <w:rPr>
                <w:rFonts w:hint="eastAsia"/>
              </w:rPr>
              <w:t xml:space="preserve">Blackwell, R. D., Miniard, P. W., &amp; Engel, J. F. (2006). </w:t>
            </w:r>
            <w:r>
              <w:rPr>
                <w:i/>
              </w:rPr>
              <w:t xml:space="preserve">Consumer </w:t>
            </w:r>
            <w:r>
              <w:rPr>
                <w:rFonts w:hint="eastAsia"/>
                <w:i/>
              </w:rPr>
              <w:t>b</w:t>
            </w:r>
            <w:r>
              <w:rPr>
                <w:i/>
              </w:rPr>
              <w:t>ehavior</w:t>
            </w:r>
            <w:r>
              <w:rPr/>
              <w:t xml:space="preserve"> (</w:t>
            </w:r>
            <w:r>
              <w:rPr>
                <w:rFonts w:hint="eastAsia"/>
              </w:rPr>
              <w:t>10</w:t>
            </w:r>
            <w:r>
              <w:rPr/>
              <w:t>th ed.)</w:t>
            </w:r>
            <w:r>
              <w:rPr>
                <w:rFonts w:hint="eastAsia"/>
              </w:rPr>
              <w:t>. London: Thomson Learning.</w:t>
            </w:r>
          </w:p>
          <w:p>
            <w:pPr>
              <w:pStyle w:val="JEB"/>
              <w:spacing w:lineRule="auto" w:line="240" w:before="108" w:after="108"/>
              <w:ind w:firstLineChars="0" w:firstLine="0" w:endChars="0" w:end="0"/>
              <w:rPr>
                <w:b/>
              </w:rPr>
            </w:pPr>
            <w:r>
              <w:rPr>
                <w:rFonts w:hint="eastAsia"/>
                <w:b/>
              </w:rPr>
              <w:t>2. Translated Books</w:t>
            </w:r>
            <w:r>
              <w:rPr>
                <w:rFonts w:hint="eastAsia"/>
                <w:b/>
              </w:rPr>
              <w:t/>
            </w:r>
          </w:p>
          <w:p>
            <w:pPr>
              <w:pStyle w:val="JEB8"/>
              <w:spacing w:before="108" w:after="108"/>
              <w:ind w:endChars="0" w:end="0"/>
              <w:rPr/>
            </w:pPr>
            <w:r>
              <w:rPr>
                <w:rFonts w:hint="eastAsia"/>
              </w:rPr>
              <w:t>白滌清（譯）（</w:t>
            </w:r>
            <w:r>
              <w:rPr>
                <w:rFonts w:hint="eastAsia"/>
              </w:rPr>
              <w:t>2008</w:t>
            </w:r>
            <w:r>
              <w:rPr>
                <w:rFonts w:hint="eastAsia"/>
              </w:rPr>
              <w:t>）。</w:t>
            </w:r>
            <w:r>
              <w:rPr>
                <w:i/>
              </w:rPr>
              <w:t>消費者行為</w:t>
            </w:r>
            <w:r>
              <w:rPr>
                <w:rFonts w:hint="eastAsia"/>
              </w:rPr>
              <w:t>（</w:t>
            </w:r>
            <w:r>
              <w:rPr>
                <w:rFonts w:hint="eastAsia"/>
              </w:rPr>
              <w:t>10</w:t>
            </w:r>
            <w:r>
              <w:rPr>
                <w:rFonts w:hint="eastAsia"/>
              </w:rPr>
              <w:t>版）。臺北市：</w:t>
            </w:r>
            <w:r>
              <w:rPr/>
              <w:t>華泰文化</w:t>
            </w:r>
            <w:r>
              <w:rPr>
                <w:rFonts w:hint="eastAsia"/>
              </w:rPr>
              <w:t>。（</w:t>
            </w:r>
            <w:r>
              <w:rPr>
                <w:rFonts w:hint="eastAsia"/>
              </w:rPr>
              <w:t>Blackwell, R. D., Miniard, P. W., &amp; Engel, J. F., 2006</w:t>
            </w:r>
            <w:r>
              <w:rPr>
                <w:rFonts w:hint="eastAsia"/>
              </w:rPr>
              <w:t>）</w:t>
            </w:r>
          </w:p>
          <w:p>
            <w:pPr>
              <w:pStyle w:val="JEB"/>
              <w:spacing w:lineRule="auto" w:line="240" w:before="108" w:after="108"/>
              <w:ind w:firstLineChars="0" w:firstLine="0" w:endChars="0" w:end="0"/>
              <w:rPr>
                <w:b/>
              </w:rPr>
            </w:pPr>
            <w:r>
              <w:rPr>
                <w:rFonts w:hint="eastAsia"/>
                <w:b/>
              </w:rPr>
              <w:t>3. Book Chapters</w:t>
            </w:r>
            <w:r>
              <w:rPr>
                <w:rFonts w:hint="eastAsia"/>
                <w:b/>
              </w:rPr>
              <w:t/>
            </w:r>
          </w:p>
          <w:p>
            <w:pPr>
              <w:pStyle w:val="JEB8"/>
              <w:spacing w:before="108" w:after="108"/>
              <w:ind w:endChars="0" w:end="0"/>
              <w:rPr/>
            </w:pPr>
            <w:r>
              <w:rPr/>
              <w:t>林清山</w:t>
            </w:r>
            <w:r>
              <w:rPr>
                <w:rFonts w:hint="eastAsia"/>
              </w:rPr>
              <w:t>（</w:t>
            </w:r>
            <w:r>
              <w:rPr/>
              <w:t>1978</w:t>
            </w:r>
            <w:r>
              <w:rPr>
                <w:rFonts w:hint="eastAsia"/>
              </w:rPr>
              <w:t>）。</w:t>
            </w:r>
            <w:r>
              <w:rPr/>
              <w:t>實驗設計的基本原則</w:t>
            </w:r>
            <w:r>
              <w:rPr>
                <w:rFonts w:hint="eastAsia"/>
              </w:rPr>
              <w:t>。載於楊國樞、文崇一、吳聰賢、李亦園（主編），</w:t>
            </w:r>
            <w:r>
              <w:rPr>
                <w:i/>
              </w:rPr>
              <w:t>社會及行為科學研究法</w:t>
            </w:r>
            <w:r>
              <w:rPr>
                <w:rFonts w:hint="eastAsia"/>
              </w:rPr>
              <w:t>（</w:t>
            </w:r>
            <w:r>
              <w:rPr/>
              <w:t>上冊</w:t>
            </w:r>
            <w:r>
              <w:rPr>
                <w:rFonts w:hint="eastAsia"/>
              </w:rPr>
              <w:t>）（</w:t>
            </w:r>
            <w:r>
              <w:rPr>
                <w:rFonts w:hint="eastAsia"/>
              </w:rPr>
              <w:t>87-130</w:t>
            </w:r>
            <w:r>
              <w:rPr>
                <w:rFonts w:hint="eastAsia"/>
              </w:rPr>
              <w:t>）。臺</w:t>
            </w:r>
            <w:r>
              <w:rPr/>
              <w:t>北</w:t>
            </w:r>
            <w:r>
              <w:rPr>
                <w:rFonts w:hint="eastAsia"/>
              </w:rPr>
              <w:t>市</w:t>
            </w:r>
            <w:r>
              <w:rPr/>
              <w:t>：東華書局。</w:t>
            </w:r>
          </w:p>
          <w:p>
            <w:pPr>
              <w:pStyle w:val="JEB8"/>
              <w:spacing w:before="108" w:after="108"/>
              <w:ind w:endChars="0" w:end="0"/>
              <w:rPr/>
            </w:pPr>
            <w:r>
              <w:rPr>
                <w:rFonts w:hint="eastAsia"/>
              </w:rPr>
              <w:t xml:space="preserve">Fichman, R. G. (2000). The diffusion and assimilation of information technology innovations. In Zmud, R. W. (Ed.), </w:t>
            </w:r>
            <w:r>
              <w:rPr>
                <w:rFonts w:hint="eastAsia"/>
                <w:i/>
              </w:rPr>
              <w:t xml:space="preserve">Framing the domains of IT management: Projecting the future </w:t>
            </w:r>
            <w:r>
              <w:rPr>
                <w:i/>
              </w:rPr>
              <w:t>……</w:t>
            </w:r>
            <w:r>
              <w:rPr>
                <w:rFonts w:hint="eastAsia"/>
                <w:i/>
              </w:rPr>
              <w:t xml:space="preserve"> Through the past</w:t>
            </w:r>
            <w:r>
              <w:rPr>
                <w:rFonts w:hint="eastAsia"/>
              </w:rPr>
              <w:t xml:space="preserve"> (105-127). Cincinnati, Ohio: Pinnaflex Educational Resources, Inc.</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t>Conference Papers</w:t>
            </w:r>
          </w:p>
        </w:tc>
        <w:tc>
          <w:tcPr>
            <w:tcW w:w="6493" w:type="dxa"/>
            <w:tcBorders>
              <w:top w:val="single" w:sz="4" w:space="0" w:color="000000"/>
              <w:start w:val="single" w:sz="4" w:space="0" w:color="000000"/>
              <w:bottom w:val="single" w:sz="4" w:space="0" w:color="000000"/>
              <w:end w:val="single" w:sz="4" w:space="0" w:color="000000"/>
            </w:tcBorders>
          </w:tcPr>
          <w:p>
            <w:pPr>
              <w:pStyle w:val="JEB8"/>
              <w:spacing w:before="108" w:after="108"/>
              <w:ind w:endChars="0" w:end="0"/>
              <w:rPr/>
            </w:pPr>
            <w:r>
              <w:rPr>
                <w:rFonts w:hint="eastAsia"/>
              </w:rPr>
              <w:t>蘇致遠、徐士傑、洪郁雯（</w:t>
            </w:r>
            <w:r>
              <w:rPr>
                <w:rFonts w:hint="eastAsia"/>
              </w:rPr>
              <w:t>2012</w:t>
            </w:r>
            <w:r>
              <w:rPr>
                <w:rFonts w:hint="eastAsia"/>
              </w:rPr>
              <w:t>）。以組織訊息處理觀點探討軟體專案風險之降低與對抗。</w:t>
            </w:r>
            <w:r>
              <w:rPr>
                <w:i/>
              </w:rPr>
              <w:t>第</w:t>
            </w:r>
            <w:r>
              <w:rPr>
                <w:rFonts w:hint="eastAsia"/>
                <w:i/>
              </w:rPr>
              <w:t>23</w:t>
            </w:r>
            <w:r>
              <w:rPr>
                <w:i/>
              </w:rPr>
              <w:t>屆</w:t>
            </w:r>
            <w:r>
              <w:rPr>
                <w:rFonts w:hint="eastAsia"/>
                <w:i/>
              </w:rPr>
              <w:t>國際資訊管理學術研討會</w:t>
            </w:r>
            <w:r>
              <w:rPr>
                <w:rFonts w:hint="eastAsia"/>
              </w:rPr>
              <w:t>，台灣</w:t>
            </w:r>
            <w:r>
              <w:rPr/>
              <w:t>，</w:t>
            </w:r>
            <w:r>
              <w:rPr>
                <w:rFonts w:hint="eastAsia"/>
              </w:rPr>
              <w:t>高雄市。</w:t>
            </w:r>
          </w:p>
          <w:p>
            <w:pPr>
              <w:pStyle w:val="JEB8"/>
              <w:spacing w:before="108" w:after="108"/>
              <w:ind w:endChars="0" w:end="0"/>
              <w:rPr/>
            </w:pPr>
            <w:r>
              <w:rPr>
                <w:rFonts w:hint="eastAsia"/>
              </w:rPr>
              <w:t>Fang, Y. H., Chiu, C. M., &amp; Liang, T. P. (2010). Exploring consumers</w:t>
            </w:r>
            <w:r>
              <w:rPr/>
              <w:t>’</w:t>
            </w:r>
            <w:r>
              <w:rPr>
                <w:rFonts w:hint="eastAsia"/>
              </w:rPr>
              <w:t xml:space="preserve"> coping behaviors in online double deviation scenarios: From power perspective. </w:t>
            </w:r>
            <w:r>
              <w:rPr>
                <w:rFonts w:hint="eastAsia"/>
                <w:i/>
              </w:rPr>
              <w:t>Proceedings of the 14th Pacific Asia Conference on Information Systems (PACIS 2010)</w:t>
            </w:r>
            <w:r>
              <w:rPr>
                <w:rFonts w:hint="eastAsia"/>
              </w:rPr>
              <w:t>, Taipei, Taiwan.</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rFonts w:hint="eastAsia"/>
              </w:rPr>
              <w:t>Dissertations and Theses</w:t>
            </w:r>
            <w:r>
              <w:rPr/>
              <w:t/>
            </w:r>
          </w:p>
        </w:tc>
        <w:tc>
          <w:tcPr>
            <w:tcW w:w="6493" w:type="dxa"/>
            <w:tcBorders>
              <w:top w:val="single" w:sz="4" w:space="0" w:color="000000"/>
              <w:start w:val="single" w:sz="4" w:space="0" w:color="000000"/>
              <w:bottom w:val="single" w:sz="4" w:space="0" w:color="000000"/>
              <w:end w:val="single" w:sz="4" w:space="0" w:color="000000"/>
            </w:tcBorders>
          </w:tcPr>
          <w:p>
            <w:pPr>
              <w:pStyle w:val="JEB8"/>
              <w:spacing w:before="108" w:after="108"/>
              <w:ind w:endChars="0" w:end="0"/>
              <w:rPr/>
            </w:pPr>
            <w:r>
              <w:rPr>
                <w:rFonts w:hint="eastAsia"/>
              </w:rPr>
              <w:t>楊馥薇（</w:t>
            </w:r>
            <w:r>
              <w:rPr>
                <w:rFonts w:hint="eastAsia"/>
              </w:rPr>
              <w:t>2012</w:t>
            </w:r>
            <w:r>
              <w:rPr>
                <w:rFonts w:hint="eastAsia"/>
              </w:rPr>
              <w:t>）。</w:t>
            </w:r>
            <w:r>
              <w:rPr>
                <w:rFonts w:hint="eastAsia"/>
                <w:i/>
              </w:rPr>
              <w:t>以方案導向探討資訊科技與企業策略配適度之研究</w:t>
            </w:r>
            <w:r>
              <w:rPr>
                <w:rFonts w:hint="eastAsia"/>
              </w:rPr>
              <w:t>。</w:t>
            </w:r>
            <w:r>
              <w:rPr/>
              <w:t>國立中央大學資訊管理研究所</w:t>
            </w:r>
            <w:r>
              <w:rPr>
                <w:rFonts w:hint="eastAsia"/>
              </w:rPr>
              <w:t>未出版碩士論文，台灣，桃園</w:t>
            </w:r>
            <w:r>
              <w:rPr/>
              <w:t>。</w:t>
            </w:r>
          </w:p>
          <w:p>
            <w:pPr>
              <w:pStyle w:val="JEB8"/>
              <w:spacing w:before="108" w:after="108"/>
              <w:ind w:endChars="0" w:end="0"/>
              <w:rPr/>
            </w:pPr>
            <w:r>
              <w:rPr>
                <w:rFonts w:hint="eastAsia"/>
              </w:rPr>
              <w:t xml:space="preserve">Dixon, R. A. (2010). </w:t>
            </w:r>
            <w:r>
              <w:rPr>
                <w:rFonts w:hint="eastAsia"/>
                <w:i/>
              </w:rPr>
              <w:t>Experts and novices: Difference in their use of mental representation and metacognition in engineering design</w:t>
            </w:r>
            <w:r>
              <w:rPr>
                <w:rFonts w:hint="eastAsia"/>
              </w:rPr>
              <w:t xml:space="preserve">. Unpublished doctoral dissertation, </w:t>
            </w:r>
            <w:r>
              <w:rPr/>
              <w:t xml:space="preserve">University of </w:t>
            </w:r>
            <w:r>
              <w:rPr>
                <w:rFonts w:hint="eastAsia"/>
              </w:rPr>
              <w:t>Illinois, IL, USA.</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pPr>
            <w:r>
              <w:rPr/>
              <w:t>Working Papers, Technical Documents, and Research Reports</w:t>
            </w:r>
            <w:r>
              <w:rPr>
                <w:rFonts w:hint="eastAsia"/>
              </w:rPr>
              <w:t/>
            </w:r>
          </w:p>
        </w:tc>
        <w:tc>
          <w:tcPr>
            <w:tcW w:w="6493" w:type="dxa"/>
            <w:tcBorders>
              <w:top w:val="single" w:sz="4" w:space="0" w:color="000000"/>
              <w:start w:val="single" w:sz="4" w:space="0" w:color="000000"/>
              <w:bottom w:val="single" w:sz="4" w:space="0" w:color="000000"/>
              <w:end w:val="single" w:sz="4" w:space="0" w:color="000000"/>
            </w:tcBorders>
          </w:tcPr>
          <w:p>
            <w:pPr>
              <w:pStyle w:val="JEB"/>
              <w:spacing w:lineRule="auto" w:line="240" w:before="108" w:after="108"/>
              <w:ind w:firstLineChars="0" w:firstLine="0" w:endChars="0" w:end="0"/>
              <w:rPr>
                <w:rFonts w:hint="eastAsia"/>
                <w:b/>
              </w:rPr>
            </w:pPr>
            <w:r>
              <w:rPr>
                <w:rFonts w:hint="eastAsia"/>
                <w:b/>
              </w:rPr>
              <w:t>1. Working Papers</w:t>
            </w:r>
            <w:r>
              <w:rPr>
                <w:rFonts w:hint="eastAsia"/>
                <w:b/>
              </w:rPr>
              <w:t/>
            </w:r>
            <w:r>
              <w:rPr>
                <w:b/>
              </w:rPr>
              <w:t/>
            </w:r>
          </w:p>
          <w:p>
            <w:pPr>
              <w:pStyle w:val="JEB8"/>
              <w:spacing w:before="108" w:after="108"/>
              <w:ind w:endChars="0" w:end="0"/>
              <w:rPr>
                <w:rFonts w:hint="eastAsia"/>
              </w:rPr>
            </w:pPr>
            <w:r>
              <w:rPr/>
              <w:t>陳月霞</w:t>
            </w:r>
            <w:r>
              <w:rPr>
                <w:rFonts w:hint="eastAsia"/>
              </w:rPr>
              <w:t>（</w:t>
            </w:r>
            <w:r>
              <w:rPr/>
              <w:t>1992</w:t>
            </w:r>
            <w:r>
              <w:rPr>
                <w:rFonts w:hint="eastAsia"/>
              </w:rPr>
              <w:t>）。</w:t>
            </w:r>
            <w:r>
              <w:rPr/>
              <w:t>台</w:t>
            </w:r>
            <w:r>
              <w:rPr>
                <w:i/>
              </w:rPr>
              <w:t>灣共同基金之投資期限及風險係數</w:t>
            </w:r>
            <w:r>
              <w:rPr>
                <w:rFonts w:hint="eastAsia"/>
              </w:rPr>
              <w:t>（討論稿）。臺灣，高雄市：</w:t>
            </w:r>
            <w:r>
              <w:rPr/>
              <w:t>國立中山大學管理學院。</w:t>
            </w:r>
          </w:p>
          <w:p>
            <w:pPr>
              <w:pStyle w:val="JEB8"/>
              <w:spacing w:before="108" w:after="108"/>
              <w:ind w:endChars="0" w:end="0"/>
              <w:rPr/>
            </w:pPr>
            <w:r>
              <w:rPr/>
              <w:t>Greenbaum, R.</w:t>
            </w:r>
            <w:r>
              <w:rPr>
                <w:rFonts w:hint="eastAsia"/>
              </w:rPr>
              <w:t>, &amp;</w:t>
            </w:r>
            <w:r>
              <w:rPr/>
              <w:t xml:space="preserve"> Engberg, J.</w:t>
            </w:r>
            <w:r>
              <w:rPr>
                <w:rFonts w:hint="eastAsia"/>
              </w:rPr>
              <w:t xml:space="preserve"> B.</w:t>
            </w:r>
            <w:r>
              <w:rPr/>
              <w:t xml:space="preserve"> (1998)</w:t>
            </w:r>
            <w:r>
              <w:rPr>
                <w:rFonts w:hint="eastAsia"/>
              </w:rPr>
              <w:t xml:space="preserve">. </w:t>
            </w:r>
            <w:r>
              <w:rPr>
                <w:i/>
              </w:rPr>
              <w:t xml:space="preserve">The </w:t>
            </w:r>
            <w:r>
              <w:rPr>
                <w:rFonts w:hint="eastAsia"/>
                <w:i/>
              </w:rPr>
              <w:t>i</w:t>
            </w:r>
            <w:r>
              <w:rPr>
                <w:i/>
              </w:rPr>
              <w:t xml:space="preserve">mpact of </w:t>
            </w:r>
            <w:r>
              <w:rPr>
                <w:rFonts w:hint="eastAsia"/>
                <w:i/>
              </w:rPr>
              <w:t>s</w:t>
            </w:r>
            <w:r>
              <w:rPr>
                <w:i/>
              </w:rPr>
              <w:t xml:space="preserve">tate </w:t>
            </w:r>
            <w:r>
              <w:rPr>
                <w:rFonts w:hint="eastAsia"/>
                <w:i/>
              </w:rPr>
              <w:t>u</w:t>
            </w:r>
            <w:r>
              <w:rPr>
                <w:i/>
              </w:rPr>
              <w:t xml:space="preserve">rban </w:t>
            </w:r>
            <w:r>
              <w:rPr>
                <w:rFonts w:hint="eastAsia"/>
                <w:i/>
              </w:rPr>
              <w:t>e</w:t>
            </w:r>
            <w:r>
              <w:rPr>
                <w:i/>
              </w:rPr>
              <w:t xml:space="preserve">nterprise </w:t>
            </w:r>
            <w:r>
              <w:rPr>
                <w:rFonts w:hint="eastAsia"/>
                <w:i/>
              </w:rPr>
              <w:t>z</w:t>
            </w:r>
            <w:r>
              <w:rPr>
                <w:i/>
              </w:rPr>
              <w:t xml:space="preserve">ones on </w:t>
            </w:r>
            <w:r>
              <w:rPr>
                <w:rFonts w:hint="eastAsia"/>
                <w:i/>
              </w:rPr>
              <w:t>b</w:t>
            </w:r>
            <w:r>
              <w:rPr>
                <w:i/>
              </w:rPr>
              <w:t xml:space="preserve">usiness </w:t>
            </w:r>
            <w:r>
              <w:rPr>
                <w:rFonts w:hint="eastAsia"/>
                <w:i/>
              </w:rPr>
              <w:t>o</w:t>
            </w:r>
            <w:r>
              <w:rPr>
                <w:i/>
              </w:rPr>
              <w:t>utcomes</w:t>
            </w:r>
            <w:r>
              <w:rPr>
                <w:rFonts w:hint="eastAsia"/>
              </w:rPr>
              <w:t xml:space="preserve"> (</w:t>
            </w:r>
            <w:r>
              <w:rPr/>
              <w:t>Working Paper</w:t>
            </w:r>
            <w:r>
              <w:rPr>
                <w:rFonts w:hint="eastAsia"/>
              </w:rPr>
              <w:t xml:space="preserve"> No. 98-20). CA, USA:</w:t>
            </w:r>
            <w:r>
              <w:rPr/>
              <w:t xml:space="preserve"> Center for Economic Studies</w:t>
            </w:r>
            <w:r>
              <w:rPr>
                <w:rFonts w:hint="eastAsia"/>
              </w:rPr>
              <w:t>.</w:t>
            </w:r>
          </w:p>
          <w:p>
            <w:pPr>
              <w:pStyle w:val="JEB"/>
              <w:spacing w:lineRule="auto" w:line="240" w:before="108" w:after="108"/>
              <w:ind w:firstLineChars="0" w:firstLine="0" w:endChars="0" w:end="0"/>
              <w:rPr>
                <w:rFonts w:hint="eastAsia"/>
                <w:b/>
              </w:rPr>
            </w:pPr>
            <w:r>
              <w:rPr>
                <w:rFonts w:hint="eastAsia"/>
                <w:b/>
              </w:rPr>
              <w:t>2. Technical Documents and Research Reports</w:t>
            </w:r>
            <w:r>
              <w:rPr>
                <w:rFonts w:hint="eastAsia"/>
                <w:b/>
              </w:rPr>
              <w:t/>
            </w:r>
          </w:p>
          <w:p>
            <w:pPr>
              <w:pStyle w:val="JEB8"/>
              <w:spacing w:before="108" w:after="108"/>
              <w:ind w:endChars="0" w:end="0"/>
              <w:rPr>
                <w:rFonts w:hint="eastAsia"/>
              </w:rPr>
            </w:pPr>
            <w:r>
              <w:rPr/>
              <w:t>賴建都</w:t>
            </w:r>
            <w:r>
              <w:rPr>
                <w:rFonts w:hint="eastAsia"/>
              </w:rPr>
              <w:t>（</w:t>
            </w:r>
            <w:r>
              <w:rPr/>
              <w:t>20</w:t>
            </w:r>
            <w:r>
              <w:rPr>
                <w:rFonts w:hint="eastAsia"/>
              </w:rPr>
              <w:t>11</w:t>
            </w:r>
            <w:r>
              <w:rPr>
                <w:rFonts w:hint="eastAsia"/>
              </w:rPr>
              <w:t>）。</w:t>
            </w:r>
            <w:r>
              <w:rPr>
                <w:i/>
              </w:rPr>
              <w:t>線上遊戲廣告訊息置入效果之研究—置入形式、置入地點暨玩家回憶度、偏好度為例</w:t>
            </w:r>
            <w:r>
              <w:rPr>
                <w:rFonts w:hint="eastAsia"/>
              </w:rPr>
              <w:t>（</w:t>
            </w:r>
            <w:r>
              <w:rPr/>
              <w:t>國科會</w:t>
            </w:r>
            <w:r>
              <w:rPr>
                <w:rFonts w:hint="eastAsia"/>
              </w:rPr>
              <w:t xml:space="preserve">計畫編號 </w:t>
            </w:r>
            <w:r>
              <w:rPr/>
              <w:t>98-2410-H-004-163-MY2</w:t>
            </w:r>
            <w:r>
              <w:rPr>
                <w:rFonts w:hint="eastAsia"/>
              </w:rPr>
              <w:t>）。臺灣，臺北市：</w:t>
            </w:r>
            <w:r>
              <w:rPr/>
              <w:t>行政院國家科學委員會</w:t>
            </w:r>
            <w:r>
              <w:rPr>
                <w:rFonts w:hint="eastAsia"/>
              </w:rPr>
              <w:t>。</w:t>
            </w:r>
          </w:p>
          <w:p>
            <w:pPr>
              <w:pStyle w:val="JEB8"/>
              <w:spacing w:before="108" w:after="108"/>
              <w:ind w:endChars="0" w:end="0"/>
              <w:rPr>
                <w:rFonts w:hint="eastAsia"/>
              </w:rPr>
            </w:pPr>
            <w:r>
              <w:rPr/>
              <w:t>White, C.</w:t>
            </w:r>
            <w:r>
              <w:rPr>
                <w:rFonts w:hint="eastAsia"/>
              </w:rPr>
              <w:t xml:space="preserve"> </w:t>
            </w:r>
            <w:r>
              <w:rPr/>
              <w:t>J. (1999)</w:t>
            </w:r>
            <w:r>
              <w:rPr>
                <w:rFonts w:hint="eastAsia"/>
              </w:rPr>
              <w:t xml:space="preserve">. </w:t>
            </w:r>
            <w:r>
              <w:rPr>
                <w:i/>
              </w:rPr>
              <w:t xml:space="preserve">The IBM </w:t>
            </w:r>
            <w:r>
              <w:rPr>
                <w:rFonts w:hint="eastAsia"/>
                <w:i/>
              </w:rPr>
              <w:t>b</w:t>
            </w:r>
            <w:r>
              <w:rPr>
                <w:i/>
              </w:rPr>
              <w:t xml:space="preserve">usiness </w:t>
            </w:r>
            <w:r>
              <w:rPr>
                <w:rFonts w:hint="eastAsia"/>
                <w:i/>
              </w:rPr>
              <w:t>i</w:t>
            </w:r>
            <w:r>
              <w:rPr>
                <w:i/>
              </w:rPr>
              <w:t xml:space="preserve">ntelligence </w:t>
            </w:r>
            <w:r>
              <w:rPr>
                <w:rFonts w:hint="eastAsia"/>
                <w:i/>
              </w:rPr>
              <w:t>s</w:t>
            </w:r>
            <w:r>
              <w:rPr>
                <w:i/>
              </w:rPr>
              <w:t xml:space="preserve">oftware </w:t>
            </w:r>
            <w:r>
              <w:rPr>
                <w:rFonts w:hint="eastAsia"/>
                <w:i/>
              </w:rPr>
              <w:t>s</w:t>
            </w:r>
            <w:r>
              <w:rPr>
                <w:i/>
              </w:rPr>
              <w:t>olution</w:t>
            </w:r>
            <w:r>
              <w:rPr>
                <w:rFonts w:hint="eastAsia"/>
              </w:rPr>
              <w:t xml:space="preserve"> (Version 3).</w:t>
            </w:r>
            <w:r>
              <w:rPr/>
              <w:t xml:space="preserve"> </w:t>
            </w:r>
            <w:r>
              <w:rPr>
                <w:rFonts w:hint="eastAsia"/>
              </w:rPr>
              <w:t xml:space="preserve">CA, USA: </w:t>
            </w:r>
            <w:r>
              <w:rPr/>
              <w:t>Database Associates International</w:t>
            </w:r>
            <w:r>
              <w:rPr>
                <w:rFonts w:hint="eastAsia"/>
              </w:rPr>
              <w:t>,</w:t>
            </w:r>
            <w:r>
              <w:rPr/>
              <w:t xml:space="preserve"> Inc.</w:t>
            </w:r>
          </w:p>
          <w:p>
            <w:pPr>
              <w:pStyle w:val="JEB"/>
              <w:spacing w:lineRule="auto" w:line="240" w:before="108" w:after="108"/>
              <w:ind w:firstLineChars="0" w:firstLine="0" w:endChars="0" w:end="0"/>
              <w:rPr>
                <w:rFonts w:hint="eastAsia"/>
                <w:b/>
              </w:rPr>
            </w:pPr>
            <w:r>
              <w:rPr>
                <w:rFonts w:hint="eastAsia"/>
                <w:b/>
              </w:rPr>
              <w:t>3. Standards</w:t>
            </w:r>
            <w:r>
              <w:rPr>
                <w:rFonts w:hint="eastAsia"/>
                <w:b/>
              </w:rPr>
              <w:t/>
            </w:r>
          </w:p>
          <w:p>
            <w:pPr>
              <w:pStyle w:val="JEB8"/>
              <w:spacing w:before="108" w:after="108"/>
              <w:ind w:endChars="0" w:end="0"/>
              <w:rPr>
                <w:rFonts w:hint="eastAsia"/>
              </w:rPr>
            </w:pPr>
            <w:r>
              <w:rPr/>
              <w:t>ISO/IEC(2001</w:t>
            </w:r>
            <w:r>
              <w:rPr>
                <w:rFonts w:hint="eastAsia"/>
              </w:rPr>
              <w:t xml:space="preserve">). </w:t>
            </w:r>
            <w:r>
              <w:rPr>
                <w:i/>
              </w:rPr>
              <w:t xml:space="preserve">Software </w:t>
            </w:r>
            <w:r>
              <w:rPr>
                <w:rFonts w:hint="eastAsia"/>
                <w:i/>
              </w:rPr>
              <w:t>e</w:t>
            </w:r>
            <w:r>
              <w:rPr>
                <w:i/>
              </w:rPr>
              <w:t xml:space="preserve">ngineering-Product </w:t>
            </w:r>
            <w:r>
              <w:rPr>
                <w:rFonts w:hint="eastAsia"/>
                <w:i/>
              </w:rPr>
              <w:t>q</w:t>
            </w:r>
            <w:r>
              <w:rPr>
                <w:i/>
              </w:rPr>
              <w:t>uality-Part1: Quality</w:t>
            </w:r>
            <w:r>
              <w:rPr>
                <w:rFonts w:hint="eastAsia"/>
                <w:i/>
              </w:rPr>
              <w:t xml:space="preserve"> m</w:t>
            </w:r>
            <w:r>
              <w:rPr>
                <w:i/>
              </w:rPr>
              <w:t>odel</w:t>
            </w:r>
            <w:r>
              <w:rPr>
                <w:rFonts w:hint="eastAsia"/>
              </w:rPr>
              <w:t xml:space="preserve"> (ISO/IEC </w:t>
            </w:r>
            <w:r>
              <w:rPr/>
              <w:t>9126-1</w:t>
            </w:r>
            <w:r>
              <w:rPr>
                <w:rFonts w:hint="eastAsia"/>
              </w:rPr>
              <w:t xml:space="preserve">). Geneva, Switzerland: </w:t>
            </w:r>
            <w:r>
              <w:rPr/>
              <w:t>ISO.</w:t>
            </w:r>
          </w:p>
          <w:p>
            <w:pPr>
              <w:pStyle w:val="JEB"/>
              <w:spacing w:lineRule="auto" w:line="240" w:before="108" w:after="108"/>
              <w:ind w:firstLineChars="0" w:firstLine="0" w:endChars="0" w:end="0"/>
              <w:rPr/>
            </w:pPr>
            <w:r>
              <w:rPr>
                <w:rFonts w:hint="eastAsia"/>
                <w:sz w:val="20"/>
                <w:szCs w:val="20"/>
                <w:shd w:fill="D8D8D8" w:val="clear"/>
              </w:rPr>
              <w:t>Note</w:t>
            </w:r>
            <w:r>
              <w:rPr>
                <w:rFonts w:hint="eastAsia"/>
                <w:sz w:val="20"/>
                <w:szCs w:val="20"/>
              </w:rPr>
              <w:t>: Include the report number or version, if applicable.</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rFonts w:hint="eastAsia"/>
              </w:rPr>
              <w:t>Newspaper Articles</w:t>
            </w:r>
          </w:p>
        </w:tc>
        <w:tc>
          <w:tcPr>
            <w:tcW w:w="6493" w:type="dxa"/>
            <w:tcBorders>
              <w:top w:val="single" w:sz="4" w:space="0" w:color="000000"/>
              <w:start w:val="single" w:sz="4" w:space="0" w:color="000000"/>
              <w:bottom w:val="single" w:sz="4" w:space="0" w:color="000000"/>
              <w:end w:val="single" w:sz="4" w:space="0" w:color="000000"/>
            </w:tcBorders>
          </w:tcPr>
          <w:p>
            <w:pPr>
              <w:pStyle w:val="JEB8"/>
              <w:spacing w:before="108" w:after="108"/>
              <w:ind w:endChars="0" w:end="0"/>
              <w:rPr/>
            </w:pPr>
            <w:r>
              <w:rPr>
                <w:rFonts w:hint="eastAsia"/>
              </w:rPr>
              <w:t>劉馥瑜（</w:t>
            </w:r>
            <w:r>
              <w:rPr>
                <w:rFonts w:hint="eastAsia"/>
              </w:rPr>
              <w:t>2012</w:t>
            </w:r>
            <w:r>
              <w:rPr/>
              <w:t>年</w:t>
            </w:r>
            <w:r>
              <w:rPr>
                <w:rFonts w:hint="eastAsia"/>
              </w:rPr>
              <w:t>8</w:t>
            </w:r>
            <w:r>
              <w:rPr/>
              <w:t>月</w:t>
            </w:r>
            <w:r>
              <w:rPr>
                <w:rFonts w:hint="eastAsia"/>
              </w:rPr>
              <w:t>31</w:t>
            </w:r>
            <w:r>
              <w:rPr/>
              <w:t>日</w:t>
            </w:r>
            <w:r>
              <w:rPr>
                <w:rFonts w:hint="eastAsia"/>
              </w:rPr>
              <w:t>）。台灣安麗搶進電子商務市場。</w:t>
            </w:r>
            <w:r>
              <w:rPr>
                <w:rFonts w:hint="eastAsia"/>
                <w:i/>
              </w:rPr>
              <w:t>工商時報</w:t>
            </w:r>
            <w:r>
              <w:rPr/>
              <w:t>，</w:t>
            </w:r>
            <w:r>
              <w:rPr>
                <w:rFonts w:hint="eastAsia"/>
              </w:rPr>
              <w:t>A19</w:t>
            </w:r>
            <w:r>
              <w:rPr/>
              <w:t>。</w:t>
            </w:r>
          </w:p>
          <w:p>
            <w:pPr>
              <w:pStyle w:val="JEB8"/>
              <w:spacing w:before="108" w:after="108"/>
              <w:ind w:endChars="0" w:end="0"/>
              <w:rPr/>
            </w:pPr>
            <w:r>
              <w:rPr>
                <w:rFonts w:hint="eastAsia"/>
              </w:rPr>
              <w:t xml:space="preserve">Hardy, Q. (August 28, 2012). Active in cloud, Amazon reshapes computing. </w:t>
            </w:r>
            <w:r>
              <w:rPr>
                <w:i/>
              </w:rPr>
              <w:t>The New York Times</w:t>
            </w:r>
            <w:r>
              <w:rPr>
                <w:rFonts w:hint="eastAsia"/>
              </w:rPr>
              <w:t>, A1.</w:t>
            </w:r>
          </w:p>
        </w:tc>
      </w:tr>
      <w:tr>
        <w:trPr/>
        <w:tc>
          <w:tcPr>
            <w:tcW w:w="1998" w:type="dxa"/>
            <w:tcBorders>
              <w:top w:val="single" w:sz="4" w:space="0" w:color="000000"/>
              <w:start w:val="single" w:sz="4" w:space="0" w:color="000000"/>
              <w:bottom w:val="single" w:sz="4" w:space="0" w:color="000000"/>
              <w:end w:val="single" w:sz="4" w:space="0" w:color="000000"/>
            </w:tcBorders>
            <w:vAlign w:val="center"/>
          </w:tcPr>
          <w:p>
            <w:pPr>
              <w:pStyle w:val="JEB"/>
              <w:spacing w:lineRule="auto" w:line="240" w:before="108" w:after="108"/>
              <w:ind w:firstLineChars="0" w:firstLine="0" w:endChars="0" w:end="0"/>
              <w:jc w:val="center"/>
              <w:rPr>
                <w:rFonts w:hint="eastAsia"/>
              </w:rPr>
            </w:pPr>
            <w:r>
              <w:rPr>
                <w:rFonts w:hint="eastAsia"/>
              </w:rPr>
              <w:t>Online Sources</w:t>
            </w:r>
          </w:p>
        </w:tc>
        <w:tc>
          <w:tcPr>
            <w:tcW w:w="6493" w:type="dxa"/>
            <w:tcBorders>
              <w:top w:val="single" w:sz="4" w:space="0" w:color="000000"/>
              <w:start w:val="single" w:sz="4" w:space="0" w:color="000000"/>
              <w:bottom w:val="single" w:sz="4" w:space="0" w:color="000000"/>
              <w:end w:val="single" w:sz="4" w:space="0" w:color="000000"/>
            </w:tcBorders>
          </w:tcPr>
          <w:p>
            <w:pPr>
              <w:pStyle w:val="JEB"/>
              <w:spacing w:lineRule="auto" w:line="240" w:before="108" w:after="108"/>
              <w:ind w:firstLineChars="0" w:firstLine="0" w:endChars="0" w:end="0"/>
              <w:rPr>
                <w:b/>
              </w:rPr>
            </w:pPr>
            <w:r>
              <w:rPr>
                <w:rFonts w:hint="eastAsia"/>
                <w:b/>
              </w:rPr>
              <w:t>1. Online-Only Journal Articles</w:t>
            </w:r>
            <w:r>
              <w:rPr>
                <w:rFonts w:hint="eastAsia"/>
                <w:b/>
              </w:rPr>
              <w:t/>
            </w:r>
          </w:p>
          <w:p>
            <w:pPr>
              <w:pStyle w:val="JEB8"/>
              <w:spacing w:before="108" w:after="108"/>
              <w:ind w:endChars="0" w:end="0"/>
              <w:rPr>
                <w:rFonts w:hint="eastAsia"/>
              </w:rPr>
            </w:pPr>
            <w:r>
              <w:rPr/>
              <w:t>Fredrickson, B.</w:t>
            </w:r>
            <w:r>
              <w:rPr>
                <w:rFonts w:hint="eastAsia"/>
              </w:rPr>
              <w:t xml:space="preserve"> </w:t>
            </w:r>
            <w:r>
              <w:rPr/>
              <w:t>L. (2000)</w:t>
            </w:r>
            <w:r>
              <w:rPr>
                <w:rFonts w:hint="eastAsia"/>
              </w:rPr>
              <w:t xml:space="preserve">. </w:t>
            </w:r>
            <w:r>
              <w:rPr/>
              <w:t>Cultivating positive emotions to optimize health and well-being</w:t>
            </w:r>
            <w:r>
              <w:rPr>
                <w:rFonts w:hint="eastAsia"/>
              </w:rPr>
              <w:t>.</w:t>
            </w:r>
            <w:r>
              <w:rPr/>
              <w:t xml:space="preserve"> </w:t>
            </w:r>
            <w:r>
              <w:rPr>
                <w:i/>
              </w:rPr>
              <w:t>Prevention &amp; Treatment</w:t>
            </w:r>
            <w:r>
              <w:rPr/>
              <w:t xml:space="preserve">, </w:t>
            </w:r>
            <w:r>
              <w:rPr>
                <w:i/>
              </w:rPr>
              <w:t>3</w:t>
            </w:r>
            <w:r>
              <w:rPr>
                <w:rFonts w:hint="eastAsia"/>
              </w:rPr>
              <w:t>(1)</w:t>
            </w:r>
            <w:r>
              <w:rPr/>
              <w:t xml:space="preserve">. Retrieved </w:t>
            </w:r>
            <w:r>
              <w:rPr>
                <w:rFonts w:hint="eastAsia"/>
              </w:rPr>
              <w:t xml:space="preserve">October 1, </w:t>
            </w:r>
            <w:r>
              <w:rPr/>
              <w:t>20</w:t>
            </w:r>
            <w:r>
              <w:rPr>
                <w:rFonts w:hint="eastAsia"/>
              </w:rPr>
              <w:t>12</w:t>
            </w:r>
            <w:r>
              <w:rPr/>
              <w:t>, from http://journals.apa.org/prevention/volume3/pre0030001a.html</w:t>
            </w:r>
          </w:p>
          <w:p>
            <w:pPr>
              <w:pStyle w:val="JEB"/>
              <w:spacing w:lineRule="auto" w:line="240" w:before="108" w:after="108"/>
              <w:ind w:firstLineChars="0" w:firstLine="0" w:endChars="0" w:end="0"/>
              <w:rPr>
                <w:b/>
              </w:rPr>
            </w:pPr>
            <w:r>
              <w:rPr>
                <w:rFonts w:hint="eastAsia"/>
                <w:b/>
              </w:rPr>
              <w:t>2. Online Articles, Technical Documents, and Research Reports</w:t>
            </w:r>
            <w:r>
              <w:rPr>
                <w:rFonts w:hint="eastAsia"/>
                <w:b/>
              </w:rPr>
              <w:t/>
            </w:r>
          </w:p>
          <w:p>
            <w:pPr>
              <w:pStyle w:val="JEB8"/>
              <w:spacing w:before="108" w:after="108"/>
              <w:ind w:endChars="0" w:end="0"/>
              <w:rPr/>
            </w:pPr>
            <w:r>
              <w:rPr>
                <w:rFonts w:hint="eastAsia"/>
              </w:rPr>
              <w:t>劉翰謙（</w:t>
            </w:r>
            <w:r>
              <w:rPr>
                <w:rFonts w:hint="eastAsia"/>
              </w:rPr>
              <w:t>2012</w:t>
            </w:r>
            <w:r>
              <w:rPr>
                <w:rFonts w:hint="eastAsia"/>
              </w:rPr>
              <w:t>）。</w:t>
            </w:r>
            <w:r>
              <w:rPr>
                <w:rFonts w:hint="eastAsia"/>
                <w:i/>
              </w:rPr>
              <w:t>【與矽谷連線】－連續創業家創投分享創業禁忌</w:t>
            </w:r>
            <w:r>
              <w:rPr>
                <w:rFonts w:hint="eastAsia"/>
              </w:rPr>
              <w:t>。取自</w:t>
            </w:r>
            <w:r>
              <w:rPr>
                <w:rFonts w:hint="eastAsia"/>
              </w:rPr>
              <w:t>2012</w:t>
            </w:r>
            <w:r>
              <w:rPr>
                <w:rFonts w:hint="eastAsia"/>
              </w:rPr>
              <w:t>年</w:t>
            </w:r>
            <w:r>
              <w:rPr>
                <w:rFonts w:hint="eastAsia"/>
              </w:rPr>
              <w:t>10</w:t>
            </w:r>
            <w:r>
              <w:rPr>
                <w:rFonts w:hint="eastAsia"/>
              </w:rPr>
              <w:t>月</w:t>
            </w:r>
            <w:r>
              <w:rPr>
                <w:rFonts w:hint="eastAsia"/>
              </w:rPr>
              <w:t>1</w:t>
            </w:r>
            <w:r>
              <w:rPr>
                <w:rFonts w:hint="eastAsia"/>
              </w:rPr>
              <w:t>日，</w:t>
            </w:r>
            <w:r>
              <w:rPr/>
              <w:t>http://www.bnext.com.tw/focus/view/cid/103/id/24603</w:t>
            </w:r>
          </w:p>
          <w:p>
            <w:pPr>
              <w:pStyle w:val="JEB8"/>
              <w:spacing w:before="108" w:after="108"/>
              <w:ind w:endChars="0" w:end="0"/>
              <w:rPr/>
            </w:pPr>
            <w:r>
              <w:rPr/>
              <w:t>Khan</w:t>
            </w:r>
            <w:r>
              <w:rPr>
                <w:rFonts w:hint="eastAsia"/>
              </w:rPr>
              <w:t xml:space="preserve">, R., &amp; </w:t>
            </w:r>
            <w:r>
              <w:rPr/>
              <w:t>Little</w:t>
            </w:r>
            <w:r>
              <w:rPr>
                <w:rFonts w:hint="eastAsia"/>
              </w:rPr>
              <w:t xml:space="preserve">, T. A. (2003). </w:t>
            </w:r>
            <w:r>
              <w:rPr>
                <w:i/>
              </w:rPr>
              <w:t xml:space="preserve">Understanding </w:t>
            </w:r>
            <w:r>
              <w:rPr>
                <w:rFonts w:hint="eastAsia"/>
                <w:i/>
              </w:rPr>
              <w:t>b</w:t>
            </w:r>
            <w:r>
              <w:rPr>
                <w:i/>
              </w:rPr>
              <w:t>usiness</w:t>
            </w:r>
            <w:r>
              <w:rPr>
                <w:rFonts w:hint="eastAsia"/>
                <w:i/>
              </w:rPr>
              <w:t xml:space="preserve"> p</w:t>
            </w:r>
            <w:r>
              <w:rPr>
                <w:i/>
              </w:rPr>
              <w:t>rocess modeling &amp; analysis</w:t>
            </w:r>
            <w:r>
              <w:rPr>
                <w:rFonts w:hint="eastAsia"/>
                <w:i/>
              </w:rPr>
              <w:t xml:space="preserve">: </w:t>
            </w:r>
            <w:r>
              <w:rPr>
                <w:i/>
              </w:rPr>
              <w:t>The first step to achieving breakthroughs in productivity improvements</w:t>
            </w:r>
            <w:r>
              <w:rPr>
                <w:rFonts w:hint="eastAsia"/>
              </w:rPr>
              <w:t xml:space="preserve">. </w:t>
            </w:r>
            <w:r>
              <w:rPr/>
              <w:t xml:space="preserve">Retrieved </w:t>
            </w:r>
            <w:r>
              <w:rPr>
                <w:rFonts w:hint="eastAsia"/>
              </w:rPr>
              <w:t>October 1</w:t>
            </w:r>
            <w:r>
              <w:rPr/>
              <w:t>, 20</w:t>
            </w:r>
            <w:r>
              <w:rPr>
                <w:rFonts w:hint="eastAsia"/>
              </w:rPr>
              <w:t>12</w:t>
            </w:r>
            <w:r>
              <w:rPr/>
              <w:t>,</w:t>
            </w:r>
            <w:r>
              <w:rPr>
                <w:rFonts w:hint="eastAsia"/>
              </w:rPr>
              <w:t xml:space="preserve"> </w:t>
            </w:r>
            <w:r>
              <w:rPr/>
              <w:t>from</w:t>
            </w:r>
            <w:r>
              <w:rPr>
                <w:rFonts w:hint="eastAsia"/>
              </w:rPr>
              <w:t xml:space="preserve"> http://</w:t>
            </w:r>
            <w:r>
              <w:rPr/>
              <w:t>internal.ultimus.com/NR/rdonlyres/7CA5047F-715A-40F7-B3F6-976ACD9A7C15/0/BPMAWhitePaper.pdf</w:t>
            </w:r>
            <w:r>
              <w:rPr>
                <w:rFonts w:hint="eastAsia"/>
              </w:rPr>
              <w:t>　</w:t>
            </w:r>
          </w:p>
          <w:p>
            <w:pPr>
              <w:pStyle w:val="JEB"/>
              <w:spacing w:lineRule="auto" w:line="240" w:before="108" w:after="108"/>
              <w:ind w:firstLineChars="0" w:firstLine="0" w:endChars="0" w:end="0"/>
              <w:rPr>
                <w:b/>
              </w:rPr>
            </w:pPr>
            <w:r>
              <w:rPr>
                <w:rFonts w:hint="eastAsia"/>
                <w:b/>
              </w:rPr>
              <w:t>3. Online News</w:t>
            </w:r>
            <w:r>
              <w:rPr>
                <w:rFonts w:hint="eastAsia"/>
                <w:b/>
              </w:rPr>
              <w:t/>
            </w:r>
          </w:p>
          <w:p>
            <w:pPr>
              <w:pStyle w:val="JEB8"/>
              <w:spacing w:before="108" w:after="108"/>
              <w:ind w:endChars="0" w:end="0"/>
              <w:rPr/>
            </w:pPr>
            <w:r>
              <w:rPr>
                <w:rFonts w:hint="eastAsia"/>
              </w:rPr>
              <w:t>楊又肇（</w:t>
            </w:r>
            <w:r>
              <w:rPr>
                <w:rFonts w:hint="eastAsia"/>
              </w:rPr>
              <w:t>2012</w:t>
            </w:r>
            <w:r>
              <w:rPr>
                <w:rFonts w:hint="eastAsia"/>
              </w:rPr>
              <w:t>年</w:t>
            </w:r>
            <w:r>
              <w:rPr>
                <w:rFonts w:hint="eastAsia"/>
              </w:rPr>
              <w:t>8</w:t>
            </w:r>
            <w:r>
              <w:rPr>
                <w:rFonts w:hint="eastAsia"/>
              </w:rPr>
              <w:t>月</w:t>
            </w:r>
            <w:r>
              <w:rPr>
                <w:rFonts w:hint="eastAsia"/>
              </w:rPr>
              <w:t>22</w:t>
            </w:r>
            <w:r>
              <w:rPr>
                <w:rFonts w:hint="eastAsia"/>
              </w:rPr>
              <w:t>日）。</w:t>
            </w:r>
            <w:r>
              <w:rPr>
                <w:rFonts w:hint="eastAsia"/>
              </w:rPr>
              <w:t>IEEE</w:t>
            </w:r>
            <w:r>
              <w:rPr>
                <w:rFonts w:hint="eastAsia"/>
              </w:rPr>
              <w:t>：乙太網路傳輸將提升至每秒</w:t>
            </w:r>
            <w:r>
              <w:rPr>
                <w:rFonts w:hint="eastAsia"/>
              </w:rPr>
              <w:t>1 terabits</w:t>
            </w:r>
            <w:r>
              <w:rPr>
                <w:rFonts w:hint="eastAsia"/>
              </w:rPr>
              <w:t>。</w:t>
            </w:r>
            <w:r>
              <w:rPr>
                <w:rFonts w:hint="eastAsia"/>
                <w:i/>
              </w:rPr>
              <w:t>聯合新聞網</w:t>
            </w:r>
            <w:r>
              <w:rPr>
                <w:rFonts w:hint="eastAsia"/>
              </w:rPr>
              <w:t>。取自</w:t>
            </w:r>
            <w:r>
              <w:rPr>
                <w:rFonts w:hint="eastAsia"/>
              </w:rPr>
              <w:t>2012</w:t>
            </w:r>
            <w:r>
              <w:rPr>
                <w:rFonts w:hint="eastAsia"/>
              </w:rPr>
              <w:t>年</w:t>
            </w:r>
            <w:r>
              <w:rPr>
                <w:rFonts w:hint="eastAsia"/>
              </w:rPr>
              <w:t>10</w:t>
            </w:r>
            <w:r>
              <w:rPr>
                <w:rFonts w:hint="eastAsia"/>
              </w:rPr>
              <w:t>月</w:t>
            </w:r>
            <w:r>
              <w:rPr>
                <w:rFonts w:hint="eastAsia"/>
              </w:rPr>
              <w:t>1</w:t>
            </w:r>
            <w:r>
              <w:rPr>
                <w:rFonts w:hint="eastAsia"/>
              </w:rPr>
              <w:t>日，</w:t>
            </w:r>
            <w:r>
              <w:rPr/>
              <w:t>http://mag.udn.com/mag/digital/storypage.jsp?f_ART_ID=408315</w:t>
            </w:r>
          </w:p>
          <w:p>
            <w:pPr>
              <w:pStyle w:val="JEB8"/>
              <w:spacing w:before="108" w:after="108"/>
              <w:ind w:endChars="0" w:end="0"/>
              <w:rPr/>
            </w:pPr>
            <w:r>
              <w:rPr>
                <w:rFonts w:hint="eastAsia"/>
              </w:rPr>
              <w:t xml:space="preserve">Hardy, Q. (August 27, 2012). Active in cloud, Amazon reshapes computing. </w:t>
            </w:r>
            <w:r>
              <w:rPr>
                <w:i/>
              </w:rPr>
              <w:t>The New York Times</w:t>
            </w:r>
            <w:r>
              <w:rPr/>
              <w:t>. Retrieved</w:t>
            </w:r>
            <w:r>
              <w:rPr>
                <w:rFonts w:hint="eastAsia"/>
              </w:rPr>
              <w:t xml:space="preserve"> October 1, 2012, from </w:t>
            </w:r>
            <w:r>
              <w:rPr/>
              <w:t>http://www.nytimes.com/2012/08/28/technology/active-in-cloud-amazon-reshapes-computing.html?_r=1&amp;ref=technology</w:t>
            </w:r>
          </w:p>
          <w:p>
            <w:pPr>
              <w:pStyle w:val="JEB"/>
              <w:spacing w:lineRule="auto" w:line="240" w:before="108" w:after="108"/>
              <w:ind w:firstLineChars="0" w:firstLine="0" w:endChars="0" w:end="0"/>
              <w:rPr>
                <w:b/>
              </w:rPr>
            </w:pPr>
            <w:r>
              <w:rPr>
                <w:rFonts w:hint="eastAsia"/>
                <w:b/>
              </w:rPr>
              <w:t>4. E-Books</w:t>
            </w:r>
            <w:r>
              <w:rPr>
                <w:rFonts w:hint="eastAsia"/>
                <w:b/>
              </w:rPr>
              <w:t/>
            </w:r>
          </w:p>
          <w:p>
            <w:pPr>
              <w:pStyle w:val="JEB8"/>
              <w:spacing w:before="108" w:after="108"/>
              <w:ind w:endChars="0" w:end="0"/>
              <w:rPr/>
            </w:pPr>
            <w:r>
              <w:rPr>
                <w:rFonts w:hint="eastAsia"/>
              </w:rPr>
              <w:t>林子銘、陳鴻基（</w:t>
            </w:r>
            <w:r>
              <w:rPr>
                <w:rFonts w:hint="eastAsia"/>
              </w:rPr>
              <w:t>2002</w:t>
            </w:r>
            <w:r>
              <w:rPr>
                <w:rFonts w:hint="eastAsia"/>
              </w:rPr>
              <w:t>）。</w:t>
            </w:r>
            <w:r>
              <w:rPr>
                <w:rFonts w:hint="eastAsia"/>
                <w:i/>
              </w:rPr>
              <w:t>21</w:t>
            </w:r>
            <w:r>
              <w:rPr>
                <w:rFonts w:hint="eastAsia"/>
                <w:i/>
              </w:rPr>
              <w:t>世紀湧現中的電子商務</w:t>
            </w:r>
            <w:r>
              <w:rPr>
                <w:rFonts w:hint="eastAsia"/>
              </w:rPr>
              <w:t>（電子書）。臺北市：華泰文化。</w:t>
            </w:r>
          </w:p>
          <w:p>
            <w:pPr>
              <w:pStyle w:val="JEB8"/>
              <w:spacing w:before="108" w:after="108"/>
              <w:ind w:endChars="0" w:end="0"/>
              <w:rPr/>
            </w:pPr>
            <w:r>
              <w:rPr/>
              <w:t>Stol</w:t>
            </w:r>
            <w:r>
              <w:rPr>
                <w:rFonts w:hint="eastAsia"/>
              </w:rPr>
              <w:t xml:space="preserve">, H. (2009). </w:t>
            </w:r>
            <w:r>
              <w:rPr>
                <w:i/>
              </w:rPr>
              <w:t xml:space="preserve">A </w:t>
            </w:r>
            <w:r>
              <w:rPr>
                <w:rFonts w:hint="eastAsia"/>
                <w:i/>
              </w:rPr>
              <w:t>f</w:t>
            </w:r>
            <w:r>
              <w:rPr>
                <w:i/>
              </w:rPr>
              <w:t xml:space="preserve">ramework for </w:t>
            </w:r>
            <w:r>
              <w:rPr>
                <w:rFonts w:hint="eastAsia"/>
                <w:i/>
              </w:rPr>
              <w:t>e</w:t>
            </w:r>
            <w:r>
              <w:rPr>
                <w:i/>
              </w:rPr>
              <w:t>vidence-</w:t>
            </w:r>
            <w:r>
              <w:rPr>
                <w:rFonts w:hint="eastAsia"/>
                <w:i/>
              </w:rPr>
              <w:t>b</w:t>
            </w:r>
            <w:r>
              <w:rPr>
                <w:i/>
              </w:rPr>
              <w:t xml:space="preserve">ased </w:t>
            </w:r>
            <w:r>
              <w:rPr>
                <w:rFonts w:hint="eastAsia"/>
                <w:i/>
              </w:rPr>
              <w:t>p</w:t>
            </w:r>
            <w:r>
              <w:rPr>
                <w:i/>
              </w:rPr>
              <w:t xml:space="preserve">olicy </w:t>
            </w:r>
            <w:r>
              <w:rPr>
                <w:rFonts w:hint="eastAsia"/>
                <w:i/>
              </w:rPr>
              <w:t>m</w:t>
            </w:r>
            <w:r>
              <w:rPr>
                <w:i/>
              </w:rPr>
              <w:t xml:space="preserve">aking </w:t>
            </w:r>
            <w:r>
              <w:rPr>
                <w:rFonts w:hint="eastAsia"/>
                <w:i/>
              </w:rPr>
              <w:t>u</w:t>
            </w:r>
            <w:r>
              <w:rPr>
                <w:i/>
              </w:rPr>
              <w:t xml:space="preserve">sing IT: </w:t>
            </w:r>
            <w:r>
              <w:rPr>
                <w:rFonts w:hint="eastAsia"/>
                <w:i/>
              </w:rPr>
              <w:t>A</w:t>
            </w:r>
            <w:r>
              <w:rPr>
                <w:i/>
              </w:rPr>
              <w:t xml:space="preserve"> </w:t>
            </w:r>
            <w:r>
              <w:rPr>
                <w:rFonts w:hint="eastAsia"/>
                <w:i/>
              </w:rPr>
              <w:t>s</w:t>
            </w:r>
            <w:r>
              <w:rPr>
                <w:i/>
              </w:rPr>
              <w:t xml:space="preserve">ystems </w:t>
            </w:r>
            <w:r>
              <w:rPr>
                <w:rFonts w:hint="eastAsia"/>
                <w:i/>
              </w:rPr>
              <w:t>a</w:t>
            </w:r>
            <w:r>
              <w:rPr>
                <w:i/>
              </w:rPr>
              <w:t>pproach</w:t>
            </w:r>
            <w:r>
              <w:rPr>
                <w:rFonts w:hint="eastAsia"/>
                <w:i/>
              </w:rPr>
              <w:t xml:space="preserve"> </w:t>
            </w:r>
            <w:r>
              <w:rPr>
                <w:rFonts w:hint="eastAsia"/>
              </w:rPr>
              <w:t>(e-book). The Netherlands: Uitgeverij Eburon.</w:t>
            </w:r>
          </w:p>
        </w:tc>
      </w:tr>
    </w:tbl>
    <w:p>
      <w:pPr>
        <w:pStyle w:val="JEB111"/>
        <w:rPr>
          <w:rFonts w:hint="eastAsia"/>
        </w:rPr>
      </w:pPr>
      <w:r>
        <w:rPr>
          <w:rFonts w:hint="eastAsia"/>
        </w:rPr>
        <w:t xml:space="preserve">1.2.6 Appendices</w:t>
      </w:r>
      <w:r>
        <w:rPr>
          <w:rFonts w:hint="eastAsia"/>
        </w:rPr>
        <w:t/>
      </w:r>
    </w:p>
    <w:p>
      <w:pPr>
        <w:pStyle w:val="JEB"/>
        <w:spacing w:before="180" w:after="180"/>
        <w:ind w:endChars="0" w:end="0"/>
        <w:rPr>
          <w:rFonts w:hint="eastAsia"/>
        </w:rPr>
      </w:pPr>
      <w:r>
        <w:rPr>
          <w:rFonts w:hint="eastAsia"/>
        </w:rPr>
        <w:t>Place appendices after the references and number them consecutively with Arabic numerals, such as Appendix 1 and Appendix 2.</w:t>
      </w:r>
      <w:r>
        <w:rPr>
          <w:rFonts w:hint="eastAsia"/>
        </w:rPr>
        <w:t/>
      </w:r>
      <w:r>
        <w:rPr>
          <w:rFonts w:hint="eastAsia"/>
        </w:rPr>
        <w:t/>
      </w:r>
      <w:r>
        <w:rPr>
          <w:rFonts w:hint="eastAsia"/>
        </w:rPr>
        <w:t/>
      </w:r>
      <w:r>
        <w:rPr>
          <w:rFonts w:hint="eastAsia"/>
        </w:rPr>
        <w:t/>
      </w:r>
    </w:p>
    <w:p>
      <w:pPr>
        <w:pStyle w:val="JEB1"/>
        <w:rPr>
          <w:rFonts w:hint="eastAsia"/>
        </w:rPr>
      </w:pPr>
      <w:r>
        <w:rPr>
          <w:rFonts w:hint="eastAsia"/>
        </w:rPr>
        <w:t>References</w:t>
      </w:r>
    </w:p>
    <w:p>
      <w:pPr>
        <w:pStyle w:val="JEB8"/>
        <w:spacing w:before="180" w:after="0"/>
        <w:ind w:endChars="0" w:end="0" w:left="540"/>
        <w:rPr/>
      </w:pPr>
      <w:r>
        <w:rPr/>
        <w:t>楊又肇（</w:t>
      </w:r>
      <w:r>
        <w:rPr/>
        <w:t>2012</w:t>
      </w:r>
      <w:r>
        <w:rPr/>
        <w:t>年</w:t>
      </w:r>
      <w:r>
        <w:rPr/>
        <w:t>8</w:t>
      </w:r>
      <w:r>
        <w:rPr/>
        <w:t>月</w:t>
      </w:r>
      <w:r>
        <w:rPr/>
        <w:t>22</w:t>
      </w:r>
      <w:r>
        <w:rPr/>
        <w:t>日）。</w:t>
      </w:r>
      <w:r>
        <w:rPr/>
        <w:t>IEEE</w:t>
      </w:r>
      <w:r>
        <w:rPr/>
        <w:t>：乙太網路傳輸將提升至每秒</w:t>
      </w:r>
      <w:r>
        <w:rPr/>
        <w:t>1 terabits</w:t>
      </w:r>
      <w:r>
        <w:rPr/>
        <w:t>。</w:t>
      </w:r>
      <w:r>
        <w:rPr>
          <w:i/>
        </w:rPr>
        <w:t>聯合新聞網</w:t>
      </w:r>
      <w:r>
        <w:rPr/>
        <w:t>。取自</w:t>
      </w:r>
      <w:r>
        <w:rPr/>
        <w:t>2012</w:t>
      </w:r>
      <w:r>
        <w:rPr/>
        <w:t>年</w:t>
      </w:r>
      <w:r>
        <w:rPr/>
        <w:t>10</w:t>
      </w:r>
      <w:r>
        <w:rPr/>
        <w:t>月</w:t>
      </w:r>
      <w:r>
        <w:rPr/>
        <w:t>1</w:t>
      </w:r>
      <w:r>
        <w:rPr/>
        <w:t>日，</w:t>
      </w:r>
      <w:r>
        <w:rPr/>
        <w:t>http://mag.udn.com/mag/digital/storypage.jsp?f_ART_ID=408315</w:t>
      </w:r>
    </w:p>
    <w:p>
      <w:pPr>
        <w:pStyle w:val="JEB8"/>
        <w:spacing w:before="180" w:after="0"/>
        <w:ind w:endChars="0" w:end="0" w:left="540"/>
        <w:rPr/>
      </w:pPr>
      <w:r>
        <w:rPr/>
        <w:t>葉禾田、陳玉音（</w:t>
      </w:r>
      <w:r>
        <w:rPr/>
        <w:t>2012</w:t>
      </w:r>
      <w:r>
        <w:rPr/>
        <w:t>）。適用於行動設備的數位權利管理系統。</w:t>
      </w:r>
      <w:r>
        <w:rPr>
          <w:i/>
        </w:rPr>
        <w:t>電子商務學報</w:t>
      </w:r>
      <w:r>
        <w:rPr/>
        <w:t>，</w:t>
      </w:r>
      <w:r>
        <w:rPr>
          <w:i/>
        </w:rPr>
        <w:t>14</w:t>
      </w:r>
      <w:r>
        <w:rPr/>
        <w:t>（</w:t>
      </w:r>
      <w:r>
        <w:rPr/>
        <w:t>1</w:t>
      </w:r>
      <w:r>
        <w:rPr/>
        <w:t>），</w:t>
      </w:r>
      <w:r>
        <w:rPr/>
        <w:t>53-72</w:t>
      </w:r>
      <w:r>
        <w:rPr/>
        <w:t>。</w:t>
      </w:r>
    </w:p>
    <w:p>
      <w:pPr>
        <w:pStyle w:val="JEB8"/>
        <w:spacing w:before="180" w:after="0"/>
        <w:ind w:endChars="0" w:end="0" w:left="540"/>
        <w:rPr/>
      </w:pPr>
      <w:r>
        <w:rPr/>
        <w:t>賴建都（</w:t>
      </w:r>
      <w:r>
        <w:rPr/>
        <w:t>2011</w:t>
      </w:r>
      <w:r>
        <w:rPr/>
        <w:t>）。</w:t>
      </w:r>
      <w:r>
        <w:rPr>
          <w:i/>
        </w:rPr>
        <w:t>線上遊戲廣告訊息置入效果之研究—置入形式、置入地點暨玩家回憶度、偏好度為例</w:t>
      </w:r>
      <w:r>
        <w:rPr/>
        <w:t>（國科會計畫編號</w:t>
      </w:r>
      <w:r>
        <w:rPr>
          <w:rFonts w:hint="eastAsia"/>
        </w:rPr>
        <w:t xml:space="preserve"> </w:t>
      </w:r>
      <w:r>
        <w:rPr/>
        <w:t>98-2410-H-004-163-MY2</w:t>
      </w:r>
      <w:r>
        <w:rPr/>
        <w:t>）。臺灣，臺北市：行政院國家科學委員會。</w:t>
      </w:r>
    </w:p>
    <w:p>
      <w:pPr>
        <w:pStyle w:val="JEB8"/>
        <w:spacing w:before="180" w:after="0"/>
        <w:ind w:endChars="0" w:end="0" w:left="540"/>
        <w:rPr/>
      </w:pPr>
      <w:r>
        <w:rPr/>
        <w:t>謝清佳、吳琮璠（</w:t>
      </w:r>
      <w:r>
        <w:rPr/>
        <w:t>2009</w:t>
      </w:r>
      <w:r>
        <w:rPr/>
        <w:t>）。</w:t>
      </w:r>
      <w:r>
        <w:rPr>
          <w:i/>
        </w:rPr>
        <w:t>資訊管理：理論與實務</w:t>
      </w:r>
      <w:r>
        <w:rPr/>
        <w:t>。臺北市：智勝文化。</w:t>
      </w:r>
    </w:p>
    <w:p>
      <w:pPr>
        <w:pStyle w:val="JEB8"/>
        <w:spacing w:before="180" w:after="0"/>
        <w:ind w:endChars="0" w:end="0" w:left="540"/>
        <w:rPr>
          <w:rFonts w:hint="eastAsia"/>
        </w:rPr>
      </w:pPr>
      <w:r>
        <w:rPr/>
        <w:t>蘇致遠、徐士傑、洪郁雯（</w:t>
      </w:r>
      <w:r>
        <w:rPr/>
        <w:t>2012</w:t>
      </w:r>
      <w:r>
        <w:rPr/>
        <w:t>）。以組織訊息處理觀點探討軟體專案風險之降低與對抗。</w:t>
      </w:r>
      <w:r>
        <w:rPr>
          <w:i/>
        </w:rPr>
        <w:t>第</w:t>
      </w:r>
      <w:r>
        <w:rPr>
          <w:i/>
        </w:rPr>
        <w:t>23</w:t>
      </w:r>
      <w:r>
        <w:rPr>
          <w:i/>
        </w:rPr>
        <w:t>屆國際資訊管理學術研討會</w:t>
      </w:r>
      <w:r>
        <w:rPr/>
        <w:t>，台灣，高雄市。</w:t>
      </w:r>
    </w:p>
    <w:p>
      <w:pPr>
        <w:pStyle w:val="JEB8"/>
        <w:spacing w:before="180" w:after="0"/>
        <w:ind w:endChars="0" w:end="0" w:left="540"/>
        <w:rPr/>
      </w:pPr>
      <w:r>
        <w:rPr/>
        <w:t xml:space="preserve">Blackwell, R. D., Miniard, P. W., &amp; Engel, J. F. (2006). </w:t>
      </w:r>
      <w:r>
        <w:rPr>
          <w:i/>
        </w:rPr>
        <w:t xml:space="preserve">Consumer behavior </w:t>
      </w:r>
      <w:r>
        <w:rPr/>
        <w:t>(10th ed.). London: Thomson Learning.</w:t>
      </w:r>
    </w:p>
    <w:p>
      <w:pPr>
        <w:pStyle w:val="JEB8"/>
        <w:spacing w:before="180" w:after="0"/>
        <w:ind w:endChars="0" w:end="0" w:left="540"/>
        <w:rPr/>
      </w:pPr>
      <w:r>
        <w:rPr/>
        <w:t xml:space="preserve">Dixon, R. A. (2010). </w:t>
      </w:r>
      <w:r>
        <w:rPr>
          <w:i/>
        </w:rPr>
        <w:t>Experts and novices: Difference in their use of mental representation and metacognition in engineering design</w:t>
      </w:r>
      <w:r>
        <w:rPr/>
        <w:t>. Unpublished doctoral dissertation, University of Illinois, IL, USA.</w:t>
      </w:r>
    </w:p>
    <w:p>
      <w:pPr>
        <w:pStyle w:val="JEB8"/>
        <w:spacing w:before="180" w:after="0"/>
        <w:ind w:endChars="0" w:end="0" w:left="540"/>
        <w:rPr/>
      </w:pPr>
      <w:r>
        <w:rPr/>
        <w:t xml:space="preserve">Fang, Y. H., Chiu, C. M., &amp; Liang, T. P. (2010). Exploring consumers’ coping behaviors in online double deviation scenarios: From power perspective. </w:t>
      </w:r>
      <w:r>
        <w:rPr>
          <w:i/>
        </w:rPr>
        <w:t>Proceedings of the 14th Pacific Asia Conference on Information Systems (PACIS 2010)</w:t>
      </w:r>
      <w:r>
        <w:rPr/>
        <w:t>, Taipei, Taiwan.</w:t>
      </w:r>
    </w:p>
    <w:p>
      <w:pPr>
        <w:pStyle w:val="JEB8"/>
        <w:spacing w:before="180" w:after="0"/>
        <w:ind w:endChars="0" w:end="0" w:left="540"/>
        <w:rPr/>
      </w:pPr>
      <w:r>
        <w:rPr/>
        <w:t xml:space="preserve">Greenbaum, R., &amp; Engberg, J. B. (1998). </w:t>
      </w:r>
      <w:r>
        <w:rPr>
          <w:i/>
        </w:rPr>
        <w:t>The impact of state urban enterprise zones on business outcomes</w:t>
      </w:r>
      <w:r>
        <w:rPr/>
        <w:t xml:space="preserve"> (Working Paper</w:t>
      </w:r>
      <w:r>
        <w:rPr>
          <w:rFonts w:hint="eastAsia"/>
        </w:rPr>
        <w:t xml:space="preserve"> </w:t>
      </w:r>
      <w:r>
        <w:rPr/>
        <w:t>No. 98-20). CA, USA: Center for Economic Studies.</w:t>
      </w:r>
    </w:p>
    <w:p>
      <w:pPr>
        <w:pStyle w:val="JEB8"/>
        <w:spacing w:before="180" w:after="0"/>
        <w:ind w:endChars="0" w:end="0" w:left="540"/>
        <w:rPr>
          <w:rFonts w:hint="eastAsia"/>
        </w:rPr>
      </w:pPr>
      <w:r>
        <w:rPr/>
        <w:t xml:space="preserve">Liang, H. M., Chuang, C. F., &amp; Chen, C. M. (2012). Exploring the effects of sharing information on expected cost under the VMI model. </w:t>
      </w:r>
      <w:r>
        <w:rPr>
          <w:i/>
        </w:rPr>
        <w:t>Journal of e-Business</w:t>
      </w:r>
      <w:r>
        <w:rPr/>
        <w:t xml:space="preserve">, </w:t>
      </w:r>
      <w:r>
        <w:rPr>
          <w:i/>
        </w:rPr>
        <w:t>14</w:t>
      </w:r>
      <w:r>
        <w:rPr/>
        <w:t>(2), 329-352.</w:t>
      </w:r>
    </w:p>
    <w:p>
      <w:pPr>
        <w:pStyle w:val="JEB1"/>
        <w:rPr>
          <w:rFonts w:hint="eastAsia"/>
        </w:rPr>
      </w:pPr>
      <w:r>
        <w:rPr>
          <w:rFonts w:hint="eastAsia"/>
        </w:rPr>
        <w:t>Appendix</w:t>
      </w:r>
    </w:p>
    <w:p>
      <w:pPr>
        <w:pStyle w:val="JEB"/>
        <w:spacing w:before="180" w:after="180"/>
        <w:ind w:endChars="0" w:end="0"/>
        <w:rPr>
          <w:rFonts w:hint="eastAsia"/>
        </w:rPr>
      </w:pPr>
      <w:r>
        <w:rPr>
          <w:rFonts w:hint="eastAsia"/>
        </w:rPr>
        <w:t>Place appendices here.</w:t>
      </w:r>
    </w:p>
    <w:sectPr>
      <w:headerReference w:type="default" r:id="rId2"/>
      <w:footerReference w:type="default" r:id="rId3"/>
      <w:footnotePr>
        <w:numFmt w:val="decimal"/>
      </w:footnotePr>
      <w:type w:val="nextPage"/>
      <w:pgSz w:w="11906" w:h="16838"/>
      <w:pgMar w:left="1800" w:right="1800" w:gutter="0" w:header="851" w:top="1440" w:footer="992" w:bottom="144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w:t>
      </w:r>
      <w:r>
        <w:rPr>
          <w:rFonts w:hint="eastAsia"/>
        </w:rPr>
        <w:t>Use the Footnote feature at the article title to place notes at the bottom of the page.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hint="eastAsia"/>
      </w:rPr>
    </w:pPr>
    <w:r>
      <w:rPr>
        <w:rFonts w:hint="eastAsia"/>
      </w:rPr>
      <w:t>JEB Manuscript Formatting Guidelines</w:t>
    </w:r>
    <w:r>
      <w:rPr>
        <w:rFonts w:hint="eastAsia"/>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960"/>
        </w:tabs>
        <w:ind w:start="960" w:hanging="480"/>
      </w:pPr>
      <w:rPr>
        <w:rFonts w:ascii="Wingdings" w:hAnsi="Wingdings" w:cs="Wingdings" w:hint="default"/>
        <w:b w:val="false"/>
        <w:i w:val="false"/>
        <w:sz w:val="24"/>
        <w:szCs w:val="24"/>
      </w:rPr>
    </w:lvl>
  </w:abstractNum>
  <w:abstractNum w:abstractNumId="3">
    <w:lvl w:ilvl="0">
      <w:start w:val="1"/>
      <w:numFmt w:val="decimal"/>
      <w:lvlText w:val="(%1)"/>
      <w:lvlJc w:val="start"/>
      <w:pPr>
        <w:tabs>
          <w:tab w:val="num" w:pos="960"/>
        </w:tabs>
        <w:ind w:start="960" w:hanging="480"/>
      </w:pPr>
      <w:rPr>
        <w:rFonts w:ascii="Times New Roman" w:hAnsi="Times New Roman" w:eastAsia="新細明體;PMingLiU" w:cs="Times New Roman"/>
        <w:b w:val="false"/>
        <w:i w:val="false"/>
        <w:sz w:val="24"/>
        <w:szCs w:val="24"/>
      </w:rPr>
    </w:lvl>
  </w:abstractNum>
  <w:abstractNum w:abstractNumId="4">
    <w:lvl w:ilvl="0">
      <w:start w:val="1"/>
      <w:numFmt w:val="decimal"/>
      <w:lvlText w:val="(%1)"/>
      <w:lvlJc w:val="start"/>
      <w:pPr>
        <w:tabs>
          <w:tab w:val="num" w:pos="0"/>
        </w:tabs>
        <w:ind w:start="360" w:hanging="360"/>
      </w:pPr>
      <w:rPr/>
    </w:lvl>
  </w:abstractNum>
  <w:abstractNum w:abstractNumId="5">
    <w:lvl w:ilvl="0">
      <w:start w:val="1"/>
      <w:numFmt w:val="bullet"/>
      <w:lvlText w:val=""/>
      <w:lvlJc w:val="start"/>
      <w:pPr>
        <w:tabs>
          <w:tab w:val="num" w:pos="1440"/>
        </w:tabs>
        <w:ind w:start="1440" w:hanging="480"/>
      </w:pPr>
      <w:rPr>
        <w:rFonts w:ascii="Wingdings" w:hAnsi="Wingdings" w:cs="Wingdings" w:hint="default"/>
        <w:b w:val="false"/>
        <w:i w:val="false"/>
        <w:sz w:val="24"/>
        <w:szCs w:val="24"/>
      </w:rPr>
    </w:lvl>
  </w:abstractNum>
  <w:abstractNum w:abstractNumId="6">
    <w:lvl w:ilvl="0">
      <w:start w:val="1"/>
      <w:numFmt w:val="lowerLetter"/>
      <w:lvlText w:val="(%1)"/>
      <w:lvlJc w:val="start"/>
      <w:pPr>
        <w:tabs>
          <w:tab w:val="num" w:pos="482"/>
        </w:tabs>
        <w:ind w:start="907" w:hanging="427"/>
      </w:pPr>
      <w:rPr>
        <w:rFonts w:ascii="Times New Roman" w:hAnsi="Times New Roman" w:eastAsia="新細明體;PMingLiU" w:cs="Times New Roman"/>
        <w:b w:val="false"/>
        <w:i w:val="false"/>
        <w:sz w:val="24"/>
        <w:szCs w:val="24"/>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480"/>
  <w:autoHyphenation w:val="true"/>
  <w:hyphenationZone w:val="0"/>
  <w:footnotePr>
    <w:numFmt w:val="decimal"/>
    <w:footnote w:id="0"/>
    <w:footnote w:id="1"/>
  </w:footnotePr>
  <w:compat>
    <w:doNotExpandShiftReturn/>
    <w:adjustLineHeightInTable/>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Times New Roman" w:hAnsi="Times New Roman" w:eastAsia="新細明體;PMingLiU" w:cs="Times New Roman"/>
      <w:color w:val="auto"/>
      <w:kern w:val="2"/>
      <w:sz w:val="24"/>
      <w:szCs w:val="24"/>
      <w:lang w:eastAsia="zh-TW" w:bidi="ar-SA" w:val="en-US"/>
    </w:rPr>
  </w:style>
  <w:style w:type="paragraph" w:styleId="Heading1">
    <w:name w:val="heading 1"/>
    <w:basedOn w:val="Normal"/>
    <w:next w:val="Normal"/>
    <w:qFormat/>
    <w:pPr>
      <w:keepNext w:val="true"/>
      <w:numPr>
        <w:ilvl w:val="0"/>
        <w:numId w:val="1"/>
      </w:numPr>
      <w:spacing w:lineRule="auto" w:line="720" w:before="180" w:after="180"/>
      <w:outlineLvl w:val="0"/>
    </w:pPr>
    <w:rPr>
      <w:rFonts w:ascii="Cambria" w:hAnsi="Cambria" w:cs="Cambria"/>
      <w:b/>
      <w:bCs/>
      <w:kern w:val="2"/>
      <w:sz w:val="52"/>
      <w:szCs w:val="52"/>
      <w:lang w:val="en-US"/>
    </w:rPr>
  </w:style>
  <w:style w:type="character" w:styleId="WW8Num1z0">
    <w:name w:val="WW8Num1z0"/>
    <w:qFormat/>
    <w:rPr>
      <w:rFonts w:ascii="Wingdings" w:hAnsi="Wingdings" w:cs="Wingdings"/>
      <w:b w:val="false"/>
      <w:i w:val="false"/>
      <w:sz w:val="24"/>
      <w:szCs w:val="24"/>
    </w:rPr>
  </w:style>
  <w:style w:type="character" w:styleId="WW8Num2z0">
    <w:name w:val="WW8Num2z0"/>
    <w:qFormat/>
    <w:rPr/>
  </w:style>
  <w:style w:type="character" w:styleId="WW8Num3z0">
    <w:name w:val="WW8Num3z0"/>
    <w:qFormat/>
    <w:rPr>
      <w:rFonts w:ascii="Times New Roman" w:hAnsi="Times New Roman" w:eastAsia="新細明體;PMingLiU" w:cs="Times New Roman"/>
      <w:b w:val="false"/>
      <w:i w:val="false"/>
      <w:sz w:val="24"/>
      <w:szCs w:val="24"/>
    </w:rPr>
  </w:style>
  <w:style w:type="character" w:styleId="WW8Num4z0">
    <w:name w:val="WW8Num4z0"/>
    <w:qFormat/>
    <w:rPr/>
  </w:style>
  <w:style w:type="character" w:styleId="WW8Num5z0">
    <w:name w:val="WW8Num5z0"/>
    <w:qFormat/>
    <w:rPr>
      <w:rFonts w:ascii="Times New Roman" w:hAnsi="Times New Roman" w:cs="Times New Roman"/>
      <w:b/>
      <w:bCs w:val="false"/>
      <w:i w:val="false"/>
      <w:iCs w:val="false"/>
      <w:caps w:val="false"/>
      <w:smallCaps w:val="false"/>
      <w:strike w:val="false"/>
      <w:dstrike w:val="false"/>
      <w:outline w:val="false"/>
      <w:shadow w:val="false"/>
      <w:vanish w:val="false"/>
      <w:spacing w:val="0"/>
      <w:position w:val="0"/>
      <w:sz w:val="24"/>
      <w:u w:val="none"/>
      <w:vertAlign w:val="baseline"/>
      <w:em w:val="none"/>
    </w:rPr>
  </w:style>
  <w:style w:type="character" w:styleId="WW8Num6z0">
    <w:name w:val="WW8Num6z0"/>
    <w:qFormat/>
    <w:rPr>
      <w:rFonts w:ascii="Wingdings" w:hAnsi="Wingdings" w:cs="Wingdings"/>
      <w:b w:val="false"/>
      <w:i w:val="false"/>
      <w:sz w:val="24"/>
      <w:szCs w:val="24"/>
    </w:rPr>
  </w:style>
  <w:style w:type="character" w:styleId="WW8Num7z0">
    <w:name w:val="WW8Num7z0"/>
    <w:qFormat/>
    <w:rPr/>
  </w:style>
  <w:style w:type="character" w:styleId="WW8Num8z0">
    <w:name w:val="WW8Num8z0"/>
    <w:qFormat/>
    <w:rPr>
      <w:rFonts w:ascii="Wingdings" w:hAnsi="Wingdings" w:cs="Wingdings"/>
    </w:rPr>
  </w:style>
  <w:style w:type="character" w:styleId="WW8Num9z0">
    <w:name w:val="WW8Num9z0"/>
    <w:qFormat/>
    <w:rPr>
      <w:rFonts w:ascii="Times New Roman" w:hAnsi="Times New Roman" w:eastAsia="新細明體;PMingLiU" w:cs="Times New Roman"/>
      <w:b w:val="false"/>
      <w:i w:val="false"/>
      <w:sz w:val="24"/>
      <w:szCs w:val="24"/>
    </w:rPr>
  </w:style>
  <w:style w:type="character" w:styleId="Style13">
    <w:name w:val="預設段落字型"/>
    <w:qFormat/>
    <w:rPr/>
  </w:style>
  <w:style w:type="character" w:styleId="1">
    <w:name w:val="標題 1 字元"/>
    <w:qFormat/>
    <w:rPr>
      <w:rFonts w:ascii="Cambria" w:hAnsi="Cambria" w:eastAsia="新細明體;PMingLiU" w:cs="Times New Roman"/>
      <w:b/>
      <w:bCs/>
      <w:kern w:val="2"/>
      <w:sz w:val="52"/>
      <w:szCs w:val="52"/>
    </w:rPr>
  </w:style>
  <w:style w:type="character" w:styleId="Style14">
    <w:name w:val="註腳文字 字元"/>
    <w:qFormat/>
    <w:rPr>
      <w:kern w:val="2"/>
    </w:rPr>
  </w:style>
  <w:style w:type="character" w:styleId="FootnoteCharacters">
    <w:name w:val="Footnote Characters"/>
    <w:qFormat/>
    <w:rPr>
      <w:vertAlign w:val="superscript"/>
    </w:rPr>
  </w:style>
  <w:style w:type="character" w:styleId="Style15">
    <w:name w:val="頁首 字元"/>
    <w:qFormat/>
    <w:rPr>
      <w:kern w:val="2"/>
    </w:rPr>
  </w:style>
  <w:style w:type="character" w:styleId="Style16">
    <w:name w:val="頁尾 字元"/>
    <w:qFormat/>
    <w:rPr>
      <w:kern w:val="2"/>
    </w:rPr>
  </w:style>
  <w:style w:type="character" w:styleId="PageNumber">
    <w:name w:val="page number"/>
    <w:basedOn w:val="Style13"/>
    <w:rPr/>
  </w:style>
  <w:style w:type="character" w:styleId="Hyperlink">
    <w:name w:val="Hyperlink"/>
    <w:rPr>
      <w:color w:val="0000FF"/>
      <w:u w:val="single"/>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JEB1">
    <w:name w:val="JEB 1."/>
    <w:basedOn w:val="Normal"/>
    <w:qFormat/>
    <w:pPr>
      <w:keepNext w:val="true"/>
      <w:snapToGrid w:val="false"/>
      <w:spacing w:lineRule="atLeast" w:line="0" w:before="360" w:after="0"/>
      <w:jc w:val="both"/>
    </w:pPr>
    <w:rPr>
      <w:b/>
      <w:sz w:val="36"/>
    </w:rPr>
  </w:style>
  <w:style w:type="paragraph" w:styleId="JEB11">
    <w:name w:val="JEB 1.1."/>
    <w:basedOn w:val="Normal"/>
    <w:qFormat/>
    <w:pPr>
      <w:keepNext w:val="true"/>
      <w:snapToGrid w:val="false"/>
      <w:spacing w:lineRule="atLeast" w:line="0" w:before="360" w:after="0"/>
      <w:jc w:val="both"/>
    </w:pPr>
    <w:rPr>
      <w:b/>
      <w:bCs/>
      <w:sz w:val="32"/>
      <w:szCs w:val="32"/>
    </w:rPr>
  </w:style>
  <w:style w:type="paragraph" w:styleId="JEB111">
    <w:name w:val="JEB 1.1.1."/>
    <w:basedOn w:val="Normal"/>
    <w:qFormat/>
    <w:pPr>
      <w:keepNext w:val="true"/>
      <w:snapToGrid w:val="false"/>
      <w:spacing w:lineRule="atLeast" w:line="0" w:before="360" w:after="0"/>
      <w:jc w:val="both"/>
    </w:pPr>
    <w:rPr>
      <w:b/>
      <w:bCs/>
      <w:kern w:val="0"/>
      <w:sz w:val="28"/>
      <w:szCs w:val="28"/>
    </w:rPr>
  </w:style>
  <w:style w:type="paragraph" w:styleId="JEB">
    <w:name w:val="JEB內文"/>
    <w:basedOn w:val="Normal"/>
    <w:qFormat/>
    <w:pPr>
      <w:snapToGrid w:val="false"/>
      <w:spacing w:lineRule="atLeast" w:line="400" w:before="50" w:after="50"/>
      <w:ind w:firstLineChars="200" w:startChars="0" w:start="0" w:endChars="0" w:end="0"/>
      <w:jc w:val="both"/>
    </w:pPr>
    <w:rPr>
      <w:color w:val="000000"/>
      <w:kern w:val="0"/>
    </w:rPr>
  </w:style>
  <w:style w:type="paragraph" w:styleId="JEB2">
    <w:name w:val="JEB作者"/>
    <w:basedOn w:val="Normal"/>
    <w:qFormat/>
    <w:pPr>
      <w:snapToGrid w:val="false"/>
      <w:spacing w:before="240" w:after="0"/>
      <w:jc w:val="center"/>
    </w:pPr>
    <w:rPr>
      <w:bCs/>
    </w:rPr>
  </w:style>
  <w:style w:type="paragraph" w:styleId="JEB3">
    <w:name w:val="JEB摘要"/>
    <w:basedOn w:val="Normal"/>
    <w:qFormat/>
    <w:pPr>
      <w:keepNext w:val="true"/>
      <w:snapToGrid w:val="false"/>
      <w:spacing w:before="100" w:after="0"/>
    </w:pPr>
    <w:rPr>
      <w:b/>
    </w:rPr>
  </w:style>
  <w:style w:type="paragraph" w:styleId="JEB4">
    <w:name w:val="JEB摘要內容"/>
    <w:basedOn w:val="Normal"/>
    <w:qFormat/>
    <w:pPr>
      <w:snapToGrid w:val="false"/>
      <w:spacing w:before="50" w:after="0"/>
      <w:ind w:firstLineChars="200" w:startChars="0" w:start="0" w:endChars="0" w:end="0"/>
      <w:jc w:val="both"/>
    </w:pPr>
    <w:rPr>
      <w:rFonts w:eastAsia="標楷體"/>
      <w:color w:val="000000"/>
      <w:kern w:val="0"/>
      <w:sz w:val="22"/>
    </w:rPr>
  </w:style>
  <w:style w:type="paragraph" w:styleId="JEB5">
    <w:name w:val="JEB標題"/>
    <w:basedOn w:val="Normal"/>
    <w:qFormat/>
    <w:pPr>
      <w:snapToGrid w:val="false"/>
      <w:spacing w:lineRule="atLeast" w:line="0" w:before="360" w:after="180"/>
      <w:jc w:val="center"/>
    </w:pPr>
    <w:rPr>
      <w:b/>
      <w:sz w:val="40"/>
      <w:szCs w:val="40"/>
    </w:rPr>
  </w:style>
  <w:style w:type="paragraph" w:styleId="JEB6">
    <w:name w:val="JEB關鍵詞"/>
    <w:basedOn w:val="Normal"/>
    <w:qFormat/>
    <w:pPr>
      <w:snapToGrid w:val="false"/>
      <w:spacing w:lineRule="atLeast" w:line="0" w:before="50" w:after="0"/>
      <w:ind w:hangingChars="490" w:endChars="0" w:end="0" w:left="1078"/>
      <w:jc w:val="both"/>
    </w:pPr>
    <w:rPr>
      <w:rFonts w:eastAsia="標楷體"/>
      <w:i/>
      <w:sz w:val="22"/>
    </w:rPr>
  </w:style>
  <w:style w:type="paragraph" w:styleId="Style17">
    <w:name w:val="註解文字"/>
    <w:basedOn w:val="Normal"/>
    <w:qFormat/>
    <w:pPr/>
    <w:rPr/>
  </w:style>
  <w:style w:type="paragraph" w:styleId="JEB7">
    <w:name w:val="JEB圖表標題"/>
    <w:basedOn w:val="JEB"/>
    <w:qFormat/>
    <w:pPr>
      <w:spacing w:before="180" w:after="180"/>
      <w:ind w:firstLineChars="83" w:startChars="0" w:start="0" w:endChars="0" w:end="0"/>
      <w:jc w:val="center"/>
    </w:pPr>
    <w:rPr>
      <w:b/>
    </w:rPr>
  </w:style>
  <w:style w:type="paragraph" w:styleId="JEB8">
    <w:name w:val="JEB參考文獻"/>
    <w:basedOn w:val="Normal"/>
    <w:qFormat/>
    <w:pPr>
      <w:widowControl/>
      <w:spacing w:before="50" w:after="0"/>
      <w:ind w:hangingChars="225" w:endChars="0" w:end="0" w:left="0"/>
      <w:jc w:val="both"/>
    </w:pPr>
    <w:rPr/>
  </w:style>
  <w:style w:type="paragraph" w:styleId="JEB-1">
    <w:name w:val="JEB-序列1"/>
    <w:basedOn w:val="Normal"/>
    <w:qFormat/>
    <w:pPr>
      <w:numPr>
        <w:ilvl w:val="0"/>
        <w:numId w:val="3"/>
      </w:numPr>
    </w:pPr>
    <w:rPr/>
  </w:style>
  <w:style w:type="paragraph" w:styleId="JEB-2">
    <w:name w:val="JEB-序列2"/>
    <w:basedOn w:val="Normal"/>
    <w:qFormat/>
    <w:pPr>
      <w:numPr>
        <w:ilvl w:val="0"/>
        <w:numId w:val="6"/>
      </w:numPr>
    </w:pPr>
    <w:rPr/>
  </w:style>
  <w:style w:type="paragraph" w:styleId="JEB-11">
    <w:name w:val="JEB-條列1"/>
    <w:basedOn w:val="JEB-1"/>
    <w:qFormat/>
    <w:pPr>
      <w:numPr>
        <w:ilvl w:val="0"/>
        <w:numId w:val="2"/>
      </w:numPr>
    </w:pPr>
    <w:rPr/>
  </w:style>
  <w:style w:type="paragraph" w:styleId="JEB-21">
    <w:name w:val="JEB-條列2"/>
    <w:basedOn w:val="JEB-2"/>
    <w:qFormat/>
    <w:pPr>
      <w:numPr>
        <w:ilvl w:val="0"/>
        <w:numId w:val="5"/>
      </w:numPr>
    </w:pPr>
    <w:rPr/>
  </w:style>
  <w:style w:type="paragraph" w:styleId="JEB-">
    <w:name w:val="JEB-方程式"/>
    <w:basedOn w:val="Normal"/>
    <w:qFormat/>
    <w:pPr>
      <w:tabs>
        <w:tab w:val="clear" w:pos="480"/>
        <w:tab w:val="right" w:pos="8160" w:leader="none"/>
      </w:tabs>
      <w:ind w:firstLineChars="0" w:firstLine="0" w:startChars="200" w:endChars="0" w:end="0"/>
    </w:pPr>
    <w:rPr/>
  </w:style>
  <w:style w:type="paragraph" w:styleId="JEB04908505">
    <w:name w:val="樣式 JEB關鍵詞 + 左:  0 公分 凸出:  4.9 字元 右:  0.85 公分 套用前:  0.5 行"/>
    <w:basedOn w:val="JEB6"/>
    <w:qFormat/>
    <w:pPr>
      <w:ind w:hangingChars="490" w:startChars="0" w:start="0" w:endChars="0" w:end="0"/>
    </w:pPr>
    <w:rPr>
      <w:rFonts w:cs="新細明體;PMingLiU"/>
      <w:b/>
      <w:bCs/>
      <w:iCs/>
      <w:szCs w:val="20"/>
    </w:rPr>
  </w:style>
  <w:style w:type="paragraph" w:styleId="FootnoteText">
    <w:name w:val="footnote text"/>
    <w:basedOn w:val="Normal"/>
    <w:pPr>
      <w:snapToGrid w:val="false"/>
    </w:pPr>
    <w:rPr>
      <w:sz w:val="20"/>
      <w:szCs w:val="20"/>
      <w:lang w:val="en-US"/>
    </w:rPr>
  </w:style>
  <w:style w:type="paragraph" w:styleId="HeaderandFooter">
    <w:name w:val="Header and Footer"/>
    <w:basedOn w:val="Normal"/>
    <w:qFormat/>
    <w:pPr>
      <w:suppressLineNumbers/>
      <w:tabs>
        <w:tab w:val="clear" w:pos="480"/>
        <w:tab w:val="center" w:pos="4819" w:leader="none"/>
        <w:tab w:val="right" w:pos="9638" w:leader="none"/>
      </w:tabs>
    </w:pPr>
    <w:rPr/>
  </w:style>
  <w:style w:type="paragraph" w:styleId="Header">
    <w:name w:val="header"/>
    <w:basedOn w:val="Normal"/>
    <w:pPr>
      <w:tabs>
        <w:tab w:val="clear" w:pos="480"/>
        <w:tab w:val="center" w:pos="4153" w:leader="none"/>
        <w:tab w:val="right" w:pos="8306" w:leader="none"/>
      </w:tabs>
      <w:snapToGrid w:val="false"/>
    </w:pPr>
    <w:rPr>
      <w:sz w:val="20"/>
      <w:szCs w:val="20"/>
      <w:lang w:val="en-US"/>
    </w:rPr>
  </w:style>
  <w:style w:type="paragraph" w:styleId="Footer">
    <w:name w:val="footer"/>
    <w:basedOn w:val="Normal"/>
    <w:pPr>
      <w:tabs>
        <w:tab w:val="clear" w:pos="480"/>
        <w:tab w:val="center" w:pos="4153" w:leader="none"/>
        <w:tab w:val="right" w:pos="8306" w:leader="none"/>
      </w:tabs>
      <w:snapToGrid w:val="false"/>
    </w:pPr>
    <w:rPr>
      <w:sz w:val="20"/>
      <w:szCs w:val="20"/>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JEB-Normal (2013)</Template>
  <TotalTime>185</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2012-10-19T01:14:00Z</dcterms:created>
  <dc:creator/>
  <dc:description/>
  <cp:keywords/>
  <dc:language>en-US</dc:language>
  <cp:lastModifiedBy/>
  <dcterms:modified xsi:type="dcterms:W3CDTF">2014-01-22T02:59:00Z</dcterms:modified>
  <cp:revision>5</cp:revision>
  <dc:subject/>
  <dc:title/>
</cp:coreProperties>
</file>